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Path Coefficients From Bootstrap Analysis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Estimate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Path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95% CI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Sig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 (X → M₁)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0.124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0.051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[0.025, 0.223]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a₁z (X×Z → M₁)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[-0.013, 0.060]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 (X → M₂)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-0.011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0.049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[-0.106, 0.085]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a₂z (X×Z → M₂)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[-0.053, 0.016]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 (X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c′z (X×Z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[-0.012, 0.015]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b₁ (M₁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-0.199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[-0.218, -0.180]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b₂ (M₂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0.159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[0.143, 0.175]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X = FASt status; Z = credit dose (centered); M₁ = Emotional Distress; M₂ = Quality of Engagement; Y = Developmental Adjustment.</w:t>
      </w:r>
    </w:p>
    <w:p>
      <w:pPr>
        <w:spacing w:before="0"/>
      </w:pPr>
      <w:r>
        <w:rPr>
          <w:rFonts w:ascii="Times New Roman" w:hAnsi="Times New Roman"/>
          <w:sz w:val="20"/>
        </w:rPr>
        <w:t>*95% bca.simple CI excludes zero. Bootstrap B = 2,000.</w:t>
      </w:r>
    </w:p>
    <w:p>
      <w:r>
        <w:br w:type="page"/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Direct, Indirect, and Total Effects at Mean Credit Dose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Estimate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Effect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95% CI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Sig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Direct effect (c′)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effect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[-0.053, 0.037]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Effects at mean credit dose (Z = 0). Indirect = a × b.</w:t>
      </w:r>
    </w:p>
    <w:p>
      <w:pPr>
        <w:spacing w:before="0"/>
      </w:pPr>
      <w:r>
        <w:rPr>
          <w:rFonts w:ascii="Times New Roman" w:hAnsi="Times New Roman"/>
          <w:sz w:val="20"/>
        </w:rPr>
        <w:t>*95% bca.simple CI excludes zero. B = 2,000.</w:t>
      </w:r>
    </w:p>
    <w:p>
      <w:r>
        <w:br w:type="page"/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Conditional Indirect Effects and Index of Moderated Mediation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Estimate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Effect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95% CI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Sig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at −1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[-0.046, 0.011]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at Mean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at +1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-0.032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[-0.046, -0.018]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IMM (EmoDiss)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[-0.012, 0.003]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at −1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[-0.019, 0.025]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at Mean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at +1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-0.006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[-0.017, 0.004]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IMM (QualEngag)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[-0.008, 0.003]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Conditional effects at −1 SD, mean, +1 SD of credit dose. IMM = a₁z × b (rate of change in indirect per unit Z).</w:t>
      </w:r>
    </w:p>
    <w:p>
      <w:pPr>
        <w:spacing w:before="0"/>
      </w:pPr>
      <w:r>
        <w:rPr>
          <w:rFonts w:ascii="Times New Roman" w:hAnsi="Times New Roman"/>
          <w:sz w:val="20"/>
        </w:rPr>
        <w:t>*95% bca.simple CI excludes zero. B = 2,000.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