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2,421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2022-23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1,149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2,446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2023-24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1,272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2,554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3,851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4,800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-1.035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1.311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1.033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0.061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3851.8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Sense of Belonging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Feel Valued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Can Be Myself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Belonging: Sense of Community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0.885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Perceived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0.856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Analyzing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Critical Thinking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Working with Others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Personal Values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Gain: Problem Solving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Supportive Environment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0.613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Academics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Physical Wellness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Non-Academic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Activities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Support: Diverse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Satisfaction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Would Choose Same Institution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Overall Experience Rating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Developmental Adjustment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Sense of Belonging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Perceived Gains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Supportive Environment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Satisfaction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Finances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0.830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re_all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1905.33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1460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2049.88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2050.90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2142.65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firstgen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829.98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851.84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855.48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880.94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Pell Grant Recipient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786.86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810.66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810.91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848.77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sex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758.04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789.65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792.36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607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832.56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By living18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1218.20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876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(1st-order)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1276.46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Metric (2nd-order)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1292.78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922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1340.53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0.996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Supported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Full structural model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1045.81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2,000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0.061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-0.663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0.517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bca.simple CI excludes zero. Bootstrap B = 2,000.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-0.026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-0.043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bca.simple bootstrap CI excludes zero. B = 2,000.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-0.040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-0.076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bca.simple bootstrap CI excludes zero. B = 2,000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PSW-Weighted vs Unweighted Estimates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|Δ|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M₁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M₂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68.1%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M₁ → 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M₂ → Y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 → Y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3.9%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M₁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M₂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XZ → Y (moderation)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35.5%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Indirect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Indirect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Effect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propensity-score overlap weights (ATO); Unweighted = no covariate balancing. |Δ| = absolute difference in unstandardized estimates; Δ% = percent change relative to weighted. Large differences (&gt;20%) suggest sensitivity to weighting approach.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