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Structural Path Coefficients From Bootstrap Analysis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Path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 (X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0.124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0.051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[0.025, 0.223]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a₁z (X×Z → M₁)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[-0.013, 0.060]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 (X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0.049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[-0.106, 0.085]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a₂z (X×Z → M₂)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0.016]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 (X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c′z (X×Z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0.015]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b₁ (M₁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-0.199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[-0.218, -0.180]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b₂ (M₂ → Y)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0.159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[0.143, 0.175]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X = FASt status; Z = credit dose (centered); M₁ = Emotional Distress; M₂ = Quality of Engagement; Y = Developmental Adjustment.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Bootstrap B = 10.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Direct, Indirect, and Total Effects at Mean Credit Dose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Direct effect (c′)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0.019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0.055]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Total effect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0.023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[-0.053, 0.037]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Effects at mean credit dose (Z = 0). Indirect = a × b.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10.</w:t>
      </w:r>
    </w:p>
    <w:p>
      <w:r>
        <w:br w:type="page"/>
      </w:r>
    </w:p>
    <w:p>
      <w:pPr>
        <w:spacing w:before="24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before="0" w:after="120"/>
      </w:pPr>
      <w:r>
        <w:rPr>
          <w:rFonts w:ascii="Times New Roman" w:hAnsi="Times New Roman"/>
          <w:i/>
          <w:sz w:val="24"/>
        </w:rPr>
        <w:t>Conditional Indirect Effects and Index of Moderated Mediation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nil"/>
          <w:insideV w:val="nil"/>
          <w:left w:val="nil"/>
          <w:right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3456"/>
            <w:gridSpan w:val="2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Estimate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Effect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SE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95% CI</w:t>
            </w:r>
          </w:p>
        </w:tc>
        <w:tc>
          <w:tcPr>
            <w:tcW w:type="dxa" w:w="1728"/>
            <w:vAlign w:val="center"/>
            <w:tcBorders>
              <w:bottom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Sig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-0.018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0.011]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-0.025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0.010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[-0.045, -0.005]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EmoDiss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-0.032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0.007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[-0.046, -0.018]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*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(EmoDiss)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[-0.012,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−1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0.011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[-0.019, 0.025]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Mean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0.008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0.013]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Indirect via QualEngag at +1 SD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-0.006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[-0.017, 0.004]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IMM (QualEngag)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0.003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[-0.008, 0.003]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20"/>
        </w:rPr>
        <w:t xml:space="preserve">Note. </w:t>
      </w:r>
      <w:r>
        <w:rPr>
          <w:rFonts w:ascii="Times New Roman" w:hAnsi="Times New Roman"/>
          <w:sz w:val="20"/>
        </w:rPr>
        <w:t>Conditional effects at −1 SD, mean, +1 SD of credit dose. IMM = a₁z × b (rate of change in indirect per unit Z).</w:t>
      </w:r>
    </w:p>
    <w:p>
      <w:pPr>
        <w:spacing w:before="0"/>
      </w:pPr>
      <w:r>
        <w:rPr>
          <w:rFonts w:ascii="Times New Roman" w:hAnsi="Times New Roman"/>
          <w:sz w:val="20"/>
        </w:rPr>
        <w:t>*95% bca.simple CI excludes zero. B = 10.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