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2,446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2,554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3,851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4,800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-1.035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1.311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1.033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0.061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3851.8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Financial Concerns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Metric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Measurement model (CFA)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Structural model (full)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Alternative: No moderation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10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CI excludes zero. Bootstrap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-0.026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Comparison Across Estimation Methods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IPTW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a₁ (X → M₁)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a₂ (X → M₂)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b₁ (M₁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b₂ (M₂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c′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overlap (ATO) weights; Unweighted = no propensity adjustment; IPTW = inverse probability of treatment weights. Difference = |Weighted − Unweighted|.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