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PART I: SAMPLE AND DATA QUALITY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Sample Flow and Analytic Sample Size by Treatment Group and Cohort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4860"/>
            <w:gridSpan w:val="3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Dual Credit Status</w:t>
            </w:r>
          </w:p>
        </w:tc>
        <w:tc>
          <w:tcPr>
            <w:tcW w:type="dxa" w:w="162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Selection Stage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FASt (≥12)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Lite_DC (1–11)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No_Cred (0)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Total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Final analytic sample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648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2,446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2,554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Weighted 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3,851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transferable dual credit units at matriculation; Lite_DC = 1–11 credits; No_Cred = 0 credits. Cohort 2022-23 = fall 2022 first-time freshmen; Cohort 2023-24 = fall 2023. ESS = effective sample size after propensity score overlap weighting.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Descriptive Statistics for Study Variables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Central Tendency</w:t>
            </w:r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Range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1.96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-3.49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4,641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4,664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4,792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4,800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N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n = sample size; M = mean; SD = standard deviation. FASt = ≥12 transferable credits; Lite_DC = 1–11 credits; No_Cred = 0 credits.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Missing Data Rates by Variable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64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Missing 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6.7%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5.8%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4.3%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Missing data assumed MAR (missing at random) and handled via FIML (full information maximum likelihood) in lavaan. Percentages reflect proportion of cases with missing values on each variable.</w:t>
      </w:r>
    </w:p>
    <w:p>
      <w:r>
        <w:br w:type="page"/>
      </w:r>
    </w:p>
    <w:p>
      <w:r>
        <w:rPr>
          <w:b/>
        </w:rPr>
        <w:t>PART II: PROPENSITY SCORE WEIGHTING DIAGNOSTICS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Model: Logistic Regression Predicting FASt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/>
          </w:p>
        </w:tc>
        <w:tc>
          <w:tcPr>
            <w:tcW w:type="dxa" w:w="432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-1.035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0.355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1.106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hapcl_c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1.311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hprecalc13_c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1.033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cSFcareer_c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hacadpr13_c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tcare_c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StemMaj_c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1.008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Treatment: FASt = 1 (≥12 credits), non-FASt = 0 (Lite_DC + No_Cred). B = unstandardized coefficient; SE = standard error; OR = odds ratio. All continuous predictors mean-centered. Model used for computing overlap (ATO) weights.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Covariate Balance Before and After Propensity Score Weighting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Pre-weighting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Post-weighting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hapcl_c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hprecalc13_c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0.958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cSFcareer_c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hacadpr13_c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tcare_c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StemMaj_c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Mean |SMD|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0.061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Max |SMD|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SMD = standardized mean difference (FASt − non-FASt). VR = variance ratio (FASt / non-FASt). Non-FASt = Lite_DC + No_Cred combined. Balance achieved when |SMD| &lt; 0.10 and VR between 0.80–1.25.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6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Overlap Weight Diagnostics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926"/>
          </w:tcPr>
          <w:p>
            <w:r/>
          </w:p>
        </w:tc>
        <w:tc>
          <w:tcPr>
            <w:tcW w:type="dxa" w:w="4630"/>
            <w:gridSpan w:val="5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 Distribution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Group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Mdn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P95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2.128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3851.8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credits; Non-FASt = Lite_DC (1–11) + No_Cred (0). Overlap weights: w = 1 − PS for treated, w = PS for control. ESS = effective sample size = (Σw)²/Σw². P5/P95 = 5th/95th percentiles; Mdn = median.</w:t>
      </w:r>
    </w:p>
    <w:p>
      <w:r>
        <w:br w:type="page"/>
      </w:r>
    </w:p>
    <w:p>
      <w:r>
        <w:rPr>
          <w:b/>
        </w:rPr>
        <w:t>PART III: MEASUREMENT MODEL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7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Confirmatory Factor Analysis: Standardized Factor Loadings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Loading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Reliability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Item/Factor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λ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ω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AVE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Sense of Belonging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Belonging: Feel Valued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Belonging: Can Be Myself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0.839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Belonging: Sense of Community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0.885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Perceived Gains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Analyzing Problems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0.731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Critical Thinking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Working with Others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Personal Values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Problem Solving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Supportive Environment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Academics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Physical Wellness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0.816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Non-Academic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Activities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Diverse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Satisfaction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Would Choose Same Institution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Overall Experience Rating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0.849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Developmental Adjustment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Sense of Belonging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0.455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Perceived Gains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Supportive Environment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Satisfaction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ω/AVE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0.874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ω/AVE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ω/AVE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0.856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0.555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ω/AVE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ω/AVE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0.613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Emotional Distress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Academic Work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Loneliness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Mental Health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Exhaustion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Sleep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Finances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ω/AVE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0.841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 of Engagement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Admin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Student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Advisor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Faculty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Staff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0.914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ω/AVE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0.830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λ = standardized factor loading; SE = standard error. ω = McDonald's omega reliability; AVE = average variance extracted. All loadings p &lt; .001. Marker-variable identification used.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8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Measurement Invariance Tests Across Treatment Groups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3704"/>
            <w:gridSpan w:val="4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  <w:tc>
          <w:tcPr>
            <w:tcW w:type="dxa" w:w="185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 Comparison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re_all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1905.33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1460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2049.88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2050.90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1552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2142.65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1628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firstgen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829.98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851.84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855.48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880.94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Pell Grant Recipient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786.86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810.66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810.91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848.77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sex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758.04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789.65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792.36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832.56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living18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1218.20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1276.46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1292.78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922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1340.53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960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Invariance tested for EmoDiss, QualEngag, and DevAdj factors. ΔCFI &gt; −.010 and ΔRMSEA &lt; .015 indicate acceptable invariance. Scalar invariance required for latent mean comparisons.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9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Equation Model Fit Indices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</w:tcPr>
          <w:p>
            <w:r/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Chi-Square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Incremental Fit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TLI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 [90% CI]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SRMR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Measurement model (CFA)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Structural model (full)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Alternative: No moderation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Estimator: MLR with robust standard errors. Missing data: FIML. Bootstrap: B = 10 replicates. Acceptable fit: CFI/TLI ≥ .90, RMSEA ≤ .08, SRMR ≤ .08.</w:t>
      </w:r>
    </w:p>
    <w:p>
      <w:r>
        <w:br w:type="page"/>
      </w:r>
    </w:p>
    <w:p>
      <w:r>
        <w:rPr>
          <w:b/>
        </w:rPr>
        <w:t>PART IV: STRUCTURAL MODEL RESULTS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10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Path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a₁: X → M₁ (FASt → EmoDiss)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[0.025, 0.223]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a₁z: X×Z → M₁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[-0.013, 0.060]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a₂: X → M₂ (FASt → QualEngag)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[-0.106, 0.085]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a₂z: X×Z → M₂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0.016]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c′: X → Y (direct effect)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c′z: X×Z → Y (direct × dose)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0.015]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b₁: M₁ → Y (EmoDiss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-0.199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[-0.218, -0.180]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b₂: M₂ → Y (QualEngag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[0.143, 0.175]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 B = unstandardized coefficient; β = fully standardized coefficient.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CI excludes zero. Bootstrap B = 10.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(a₁×b₁)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(a₂×b₂)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indirect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-0.026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0.037]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evaluated at mean credit dose (Z = 0). Indirect effect = product of a-path and b-path coefficients.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bootstrap CI excludes zero. B = 10.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Emotional Distress (a₁ × 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0.011]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-0.018]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Quality of Engagement (a₂ × 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0.025]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0.004]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[-0.008,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indirect effects evaluated at −1 SD, mean, and +1 SD of credit dose. IMM = index of moderated mediation = a₁z × b (slope of indirect effect on moderator).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bootstrap CI excludes zero. B = 10 replicates.</w:t>
      </w:r>
    </w:p>
    <w:p>
      <w:r>
        <w:br w:type="page"/>
      </w:r>
    </w:p>
    <w:p>
      <w:r>
        <w:rPr>
          <w:b/>
        </w:rPr>
        <w:t>PART V: ROBUSTNESS AND EXPLORATORY ANALYSES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Robustness Checks: PSW-Weighted vs Unweighted Estimates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Difference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Parameter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Unweighted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|Δ|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 → M₁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3.3%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 → M₂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68.1%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M₁ → 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M₂ → 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 → Y (direct)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3.9%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XZ → M₁ (moderation)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XZ → M₂ (moderation)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XZ → Y (moderation)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35.5%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Indirect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Indirect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69.8%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Effect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Weighted = propensity-score overlap weights (ATO); Unweighted = no covariate balancing. |Δ| = absolute difference in unstandardized estimates; Δ% = percent change relative to weighted. Large differences (&gt;20%) suggest sensitivity to weighting approach.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