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PART I: SAMPLE AND DATA QUALITY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Sample Flow and Analytic Sample Size by Treatment Group and Cohort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</w:tcPr>
          <w:p>
            <w:r/>
          </w:p>
        </w:tc>
        <w:tc>
          <w:tcPr>
            <w:tcW w:type="dxa" w:w="4860"/>
            <w:gridSpan w:val="3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Dual Credit Status</w:t>
            </w:r>
          </w:p>
        </w:tc>
        <w:tc>
          <w:tcPr>
            <w:tcW w:type="dxa" w:w="1620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Selection Stage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FASt (≥12)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Lite_DC (1–11)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No_Cred (0)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Total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Final analytic sample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1,321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2,421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1,258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i/>
                <w:sz w:val="20"/>
              </w:rPr>
              <w:t xml:space="preserve">  Cohort 2022-23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648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1,149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649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2,446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i/>
                <w:sz w:val="20"/>
              </w:rPr>
              <w:t xml:space="preserve">  Cohort 2023-24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673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1,272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609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2,554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Weighted ESS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3,851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FASt = ≥12 transferable dual credit units at matriculation; Lite_DC = 1–11 credits; No_Cred = 0 credits. Cohort 2022-23 = fall 2022 first-time freshmen; Cohort 2023-24 = fall 2023. ESS = effective sample size after propensity score overlap weighting.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Descriptive Statistics for Study Variables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Central Tendency</w:t>
            </w:r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Range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Variable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SD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Min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Max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FASt Status (≥12 credits)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Dual Credit Units Earned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1.52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-1.20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6.80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GPA (centered)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-1.53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1.47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Parent Education (centered)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-1.04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1.96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Pell Grant Recipient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AP/IB/College-Level Courses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Precalculus or Higher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Challenge (centered)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1.22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-3.49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2.51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Academic Work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4,719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Loneliness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4,641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Mental Health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4,679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Exhaustion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Sleep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4,664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Finances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4,709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Student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4,792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Advisor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4,780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Faculty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4,778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Staff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4,800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Admin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4,783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Feel Valued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Can Be Myself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Sense of Community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Critical Thinking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Analyzing Problems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Working with Others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Personal Values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Problem Solving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Physical Wellness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Non-Academic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Activities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Academics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Diverse Interactions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Overall Experience Rating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Would Choose Same Institution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2.90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4.00</w:t>
            </w:r>
          </w:p>
        </w:tc>
      </w:tr>
      <w:tr>
        <w:tc>
          <w:tcPr>
            <w:tcW w:type="dxa" w:w="2880"/>
            <w:tcBorders>
              <w:top w:val="single" w:sz="4" w:color="000000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Total N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n = sample size; M = mean; SD = standard deviation. FASt = ≥12 transferable credits; Lite_DC = 1–11 credits; No_Cred = 0 credits.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Missing Data Rates by Variable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4680"/>
        <w:gridCol w:w="4680"/>
      </w:tblGrid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Variable</w:t>
            </w:r>
          </w:p>
        </w:tc>
        <w:tc>
          <w:tcPr>
            <w:tcW w:type="dxa" w:w="64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Missing 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FASt Status (≥12 credits)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Dual Credit Units Earned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GPA (centered)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Parent Education (centered)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Pell Grant Recipient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AP/IB/College-Level Courses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Precalculus or Higher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Challenge (centered)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Academic Work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5.6%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Loneliness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7.2%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Mental Health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Exhaustion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5.6%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Sleep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6.7%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Difficulty: Finances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5.8%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Student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4.2%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Advisor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Faculty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Staff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Quality: Admin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4.3%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Feel Valued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Can Be Myself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Belonging: Sense of Community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Critical Thinking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Analyzing Problems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Working with Others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Personal Values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Gain: Problem Solving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Physical Wellness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Non-Academic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Activities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Academics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Support: Diverse Interactions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Overall Experience Rating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Would Choose Same Institution</w:t>
            </w:r>
          </w:p>
        </w:tc>
        <w:tc>
          <w:tcPr>
            <w:tcW w:type="dxa" w:w="64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0.0%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Missing data assumed MAR (missing at random) and handled via FIML (full information maximum likelihood) in lavaan. Percentages reflect proportion of cases with missing values on each variable.</w:t>
      </w:r>
    </w:p>
    <w:p>
      <w:r>
        <w:br w:type="page"/>
      </w:r>
    </w:p>
    <w:p>
      <w:r>
        <w:rPr>
          <w:b/>
        </w:rPr>
        <w:t>PART II: PROPENSITY SCORE WEIGHTING DIAGNOSTICS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4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Propensity Score Model: Logistic Regression Predicting FASt Status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</w:tcPr>
          <w:p>
            <w:r/>
          </w:p>
        </w:tc>
        <w:tc>
          <w:tcPr>
            <w:tcW w:type="dxa" w:w="432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Estimate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Covariate</w:t>
            </w:r>
          </w:p>
        </w:tc>
        <w:tc>
          <w:tcPr>
            <w:tcW w:type="dxa" w:w="216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</w:t>
            </w:r>
          </w:p>
        </w:tc>
        <w:tc>
          <w:tcPr>
            <w:tcW w:type="dxa" w:w="216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OR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-1.035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0.355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GPA (centered)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0.100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1.106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Parent Education (centered)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1.047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hapcl_c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0.270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1.311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hprecalc13_c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0.218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0.067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1.244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Challenge (centered)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0.027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1.033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cSFcareer_c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0.039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hacadpr13_c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0.008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1.008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tcare_c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-0.006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0.006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0.994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StemMaj_c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0.008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1.008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Treatment: FASt = 1 (≥12 credits), non-FASt = 0 (Lite_DC + No_Cred). B = unstandardized coefficient; SE = standard error; OR = odds ratio. All continuous predictors mean-centered. Model used for computing overlap (ATO) weights.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5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Covariate Balance Before and After Propensity Score Weighting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</w:tcPr>
          <w:p>
            <w:r/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Pre-weighting</w:t>
            </w:r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Post-weighting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Covariate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SMD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VR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SMD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VR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GPA (centered)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0.980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0.982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Parent Education (centered)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1.022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0.997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hapcl_c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1.152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hprecalc13_c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1.072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HS Challenge (centered)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0.958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0.962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cSFcareer_c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hacadpr13_c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0.935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tcare_c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-0.041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0.972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1.078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StemMaj_c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2880"/>
            <w:tcBorders>
              <w:top w:val="single" w:sz="4" w:color="000000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Mean |SMD|</w:t>
            </w:r>
          </w:p>
        </w:tc>
        <w:tc>
          <w:tcPr>
            <w:tcW w:type="dxa" w:w="1620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0.061</w:t>
            </w:r>
          </w:p>
        </w:tc>
        <w:tc>
          <w:tcPr>
            <w:tcW w:type="dxa" w:w="1620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620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Max |SMD|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SMD = standardized mean difference (FASt − non-FASt). VR = variance ratio (FASt / non-FASt). Non-FASt = Lite_DC + No_Cred combined. Balance achieved when |SMD| &lt; 0.10 and VR between 0.80–1.25.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6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Propensity Score Overlap Weight Diagnostics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880"/>
          </w:tcPr>
          <w:p>
            <w:r/>
          </w:p>
        </w:tc>
        <w:tc>
          <w:tcPr>
            <w:tcW w:type="dxa" w:w="926"/>
          </w:tcPr>
          <w:p>
            <w:r/>
          </w:p>
        </w:tc>
        <w:tc>
          <w:tcPr>
            <w:tcW w:type="dxa" w:w="4630"/>
            <w:gridSpan w:val="5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Weight Distribution</w:t>
            </w:r>
          </w:p>
        </w:tc>
        <w:tc>
          <w:tcPr>
            <w:tcW w:type="dxa" w:w="92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Group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Min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P5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Mdn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P95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Max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ESS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Total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5,000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0.439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0.539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0.720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2.128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3851.8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FASt = ≥12 credits; Non-FASt = Lite_DC (1–11) + No_Cred (0). Overlap weights: w = 1 − PS for treated, w = PS for control. ESS = effective sample size = (Σw)²/Σw². P5/P95 = 5th/95th percentiles; Mdn = median.</w:t>
      </w:r>
    </w:p>
    <w:p>
      <w:r>
        <w:br w:type="page"/>
      </w:r>
    </w:p>
    <w:p>
      <w:r>
        <w:rPr>
          <w:b/>
        </w:rPr>
        <w:t>PART III: MEASUREMENT MODEL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7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Confirmatory Factor Analysis: Standardized Factor Loadings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</w:tcPr>
          <w:p>
            <w:r/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Loading</w:t>
            </w:r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Reliability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Item/Factor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λ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ω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AVE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Sense of Belonging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0.874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0.729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Belonging: Feel Valued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0.868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Belonging: Can Be Myself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0.839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Belonging: Sense of Community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0.885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Perceived Gains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0.856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0.555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Analyzing Problems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0.731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Critical Thinking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Working with Others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0.747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Personal Values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0.710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Gain: Problem Solving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0.759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Supportive Environment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0.869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0.613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Academics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0.828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Physical Wellness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0.816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Non-Academic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0.782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Activities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0.742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Support: Diverse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Satisfaction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0.828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0.723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Would Choose Same Institution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0.873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Overall Experience Rating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0.849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Developmental Adjustment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Sense of Belonging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0.455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Perceived Gains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0.253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Supportive Environment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0.445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Satisfaction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Emotional Distress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0.969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0.841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Academic Work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0.909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Loneliness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0.931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Mental Health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0.943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Exhaustion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0.938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Sleep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0.920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Difficulty: Finances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0.867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Quality of Engagement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0.961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0.830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Admin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0.891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Student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0.898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Advisor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0.920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Faculty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0.935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Quality: Staff Interactions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0.914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λ = standardized factor loading; SE = standard error. ω = McDonald's omega reliability; AVE = average variance extracted. All loadings p &lt; .001. Marker-variable identification used.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8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Measurement Invariance Tests Across Treatment Groups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880"/>
          </w:tcPr>
          <w:p>
            <w:r/>
          </w:p>
        </w:tc>
        <w:tc>
          <w:tcPr>
            <w:tcW w:type="dxa" w:w="3704"/>
            <w:gridSpan w:val="4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Absolute Fit</w:t>
            </w:r>
          </w:p>
        </w:tc>
        <w:tc>
          <w:tcPr>
            <w:tcW w:type="dxa" w:w="185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 Comparison</w:t>
            </w:r>
          </w:p>
        </w:tc>
        <w:tc>
          <w:tcPr>
            <w:tcW w:type="dxa" w:w="92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Model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χ²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df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CFI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RMSEA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ΔCFI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ΔRMSEA</w:t>
            </w:r>
          </w:p>
        </w:tc>
        <w:tc>
          <w:tcPr>
            <w:tcW w:type="dxa" w:w="92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Decision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re_all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1905.33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1460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2049.88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1548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2050.90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1552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2142.65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1628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firstgen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829.98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584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851.84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855.48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880.94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626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Pell Grant Recipient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786.86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584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810.66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810.91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848.77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626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sex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758.04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584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789.65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792.36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607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832.56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626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By living18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Configural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1218.20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876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Baseline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(1st-order)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1276.46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920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Metric (2nd-order)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1292.78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922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 xml:space="preserve">  Scalar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1340.53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960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0.996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92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Supported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Invariance tested for EmoDiss, QualEngag, and DevAdj factors. ΔCFI &gt; −.010 and ΔRMSEA &lt; .015 indicate acceptable invariance. Scalar invariance required for latent mean comparisons.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9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Structural Equation Model Fit Indices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</w:tcPr>
          <w:p>
            <w:r/>
          </w:p>
        </w:tc>
        <w:tc>
          <w:tcPr>
            <w:tcW w:type="dxa" w:w="216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Chi-Square</w:t>
            </w:r>
          </w:p>
        </w:tc>
        <w:tc>
          <w:tcPr>
            <w:tcW w:type="dxa" w:w="216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Incremental Fit</w:t>
            </w:r>
          </w:p>
        </w:tc>
        <w:tc>
          <w:tcPr>
            <w:tcW w:type="dxa" w:w="216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Absolute Fit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Model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χ²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df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CFI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TLI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RMSEA [90% CI]</w:t>
            </w:r>
          </w:p>
        </w:tc>
        <w:tc>
          <w:tcPr>
            <w:tcW w:type="dxa" w:w="108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SRMR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Full structural model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1045.81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569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0.046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Estimator: MLR with robust standard errors. Missing data: FIML. Bootstrap: B = 10 replicates. Acceptable fit: CFI/TLI ≥ .90, RMSEA ≤ .08, SRMR ≤ .08.</w:t>
      </w:r>
    </w:p>
    <w:p>
      <w:r>
        <w:br w:type="page"/>
      </w:r>
    </w:p>
    <w:p>
      <w:r>
        <w:rPr>
          <w:b/>
        </w:rPr>
        <w:t>PART IV: STRUCTURAL MODEL RESULTS</w:t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10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Structural Path Coefficients From Bootstrap Analysis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</w:tcPr>
          <w:p>
            <w:r/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Unstandardized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Std.</w:t>
            </w:r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Path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β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95% CI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Sig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a₁: X → M₁ (FASt → EmoDiss)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0.124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0.051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0.061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[0.025, 0.223]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a₁z: X×Z → M₁ (interaction)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0.035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[-0.013, 0.060]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a₂: X → M₂ (FASt → QualEngag)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0.049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[-0.106, 0.085]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a₂z: X×Z → M₂ (interaction)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[-0.053, 0.016]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c′: X → Y (direct effect)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0.030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c′z: X×Z → Y (direct × dose)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[-0.012, 0.015]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b₁: M₁ → Y (EmoDiss → DevAdj)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-0.199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-0.663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[-0.218, -0.180]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b₂: M₂ → Y (QualEngag → DevAdj)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0.159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0.517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[0.143, 0.175]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X = FASt status; Z = credit dose (centered); M₁ = Emotional Distress; M₂ = Quality of Engagement; Y = Developmental Adjustment. B = unstandardized coefficient; β = fully standardized coefficient.</w:t>
      </w:r>
    </w:p>
    <w:p>
      <w:pPr>
        <w:spacing w:before="0" w:after="0"/>
      </w:pPr>
      <w:r>
        <w:rPr>
          <w:rFonts w:ascii="Times New Roman" w:hAnsi="Times New Roman"/>
          <w:sz w:val="20"/>
        </w:rPr>
        <w:t>*95% percentile CI excludes zero. Bootstrap B = 10.</w:t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11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Direct, Indirect, and Total Effects at Mean Credit Dose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</w:tcPr>
          <w:p>
            <w:r/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Unstandardized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Std.</w:t>
            </w:r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Effect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β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95% CI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Sig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Direct effect (c′)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0.030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(a₁×b₁)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-0.040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(a₂×b₂)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tcBorders>
              <w:top w:val="single" w:sz="4" w:color="000000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Total indirect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-0.026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-0.043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296"/>
            <w:tcBorders>
              <w:top w:val="single" w:sz="4" w:color="000000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Total effect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[-0.053, 0.037]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Effects evaluated at mean credit dose (Z = 0). Indirect effect = product of a-path and b-path coefficients. B = unstandardized; β = fully standardized.</w:t>
      </w:r>
    </w:p>
    <w:p>
      <w:pPr>
        <w:spacing w:before="0" w:after="0"/>
      </w:pPr>
      <w:r>
        <w:rPr>
          <w:rFonts w:ascii="Times New Roman" w:hAnsi="Times New Roman"/>
          <w:sz w:val="20"/>
        </w:rPr>
        <w:t>*95% percentile bootstrap CI excludes zero. B = 10.</w:t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12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Conditional Indirect Effects and Index of Moderated Mediation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</w:tcPr>
          <w:p>
            <w:r/>
          </w:p>
        </w:tc>
        <w:tc>
          <w:tcPr>
            <w:tcW w:type="dxa" w:w="2592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Unstandardized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Std.</w:t>
            </w:r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Effect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β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95% CI</w:t>
            </w:r>
          </w:p>
        </w:tc>
        <w:tc>
          <w:tcPr>
            <w:tcW w:type="dxa" w:w="1296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Sig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Via Emotional Distress (a₁ × b₁)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−1 SD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[-0.046, 0.011]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mean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-0.040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+1 SD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-0.032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-0.076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[-0.046, -0.018]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Index of moderated mediation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[-0.012, 0.003]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Via Quality of Engagement (a₂ × b₂)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−1 SD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0.011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0.020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[-0.019, 0.025]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mean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At +1 SD credit dose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-0.006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[-0.017, 0.004]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  Index of moderated mediation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-0.015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[-0.008, 0.003]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Conditional indirect effects evaluated at −1 SD, mean, and +1 SD of credit dose. IMM = index of moderated mediation = a₁z × b (slope of indirect effect on moderator). B = unstandardized; β = fully standardized.</w:t>
      </w:r>
    </w:p>
    <w:p>
      <w:pPr>
        <w:spacing w:before="0" w:after="0"/>
      </w:pPr>
      <w:r>
        <w:rPr>
          <w:rFonts w:ascii="Times New Roman" w:hAnsi="Times New Roman"/>
          <w:sz w:val="20"/>
        </w:rPr>
        <w:t>*95% percentile bootstrap CI excludes zero. B = 10 replicates.</w:t>
      </w:r>
    </w:p>
    <w:p>
      <w:r>
        <w:br w:type="page"/>
      </w:r>
    </w:p>
    <w:p>
      <w:r>
        <w:rPr>
          <w:b/>
        </w:rPr>
        <w:t>PART V: ROBUSTNESS AND EXPLORATORY ANALYSES</w:t>
      </w:r>
    </w:p>
    <w:p>
      <w:pPr>
        <w:spacing w:before="120" w:after="0"/>
      </w:pPr>
      <w:r>
        <w:rPr>
          <w:rFonts w:ascii="Times New Roman" w:hAnsi="Times New Roman"/>
          <w:b/>
          <w:sz w:val="24"/>
        </w:rPr>
        <w:t>Table 13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Robustness Checks: PSW-Weighted vs Unweighted Estimates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</w:tcPr>
          <w:p>
            <w:r/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Estimate</w:t>
            </w:r>
          </w:p>
        </w:tc>
        <w:tc>
          <w:tcPr>
            <w:tcW w:type="dxa" w:w="3240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Difference</w:t>
            </w:r>
          </w:p>
        </w:tc>
      </w:tr>
      <w:tr>
        <w:tc>
          <w:tcPr>
            <w:tcW w:type="dxa" w:w="2880"/>
            <w:vAlign w:val="center"/>
            <w:tcBorders>
              <w:bottom w:val="single" w:sz="4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Parameter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Weighted B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Unweighted B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|Δ|</w:t>
            </w:r>
          </w:p>
        </w:tc>
        <w:tc>
          <w:tcPr>
            <w:tcW w:type="dxa" w:w="1620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 → M₁ (EmoDiss)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3.3%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 → M₂ (QualEngag)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-0.011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68.1%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M₁ → Y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3.6%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M₂ → Y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1.0%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 → Y (direct)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3.9%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XZ → M₁ (moderation)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9.2%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XZ → M₂ (moderation)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-0.018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-0.015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XZ → Y (moderation)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35.5%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Indirect (EmoDiss)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-0.025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-0.025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Indirect (QualEngag)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69.8%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IMM (EmoDiss)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-0.005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12.4%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IMM (QualEngag)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18.6%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Total Effect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-0.008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-0.009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4.4%</w:t>
            </w:r>
          </w:p>
        </w:tc>
      </w:tr>
    </w:tbl>
    <w:p>
      <w:pPr>
        <w:spacing w:before="120" w:after="0"/>
      </w:pPr>
      <w:r>
        <w:rPr>
          <w:rFonts w:ascii="Times New Roman" w:hAnsi="Times New Roman"/>
          <w:i/>
          <w:sz w:val="18"/>
        </w:rPr>
        <w:t xml:space="preserve">Note. </w:t>
      </w:r>
      <w:r>
        <w:rPr>
          <w:rFonts w:ascii="Times New Roman" w:hAnsi="Times New Roman"/>
          <w:sz w:val="18"/>
        </w:rPr>
        <w:t>Weighted = propensity-score overlap weights (ATO); Unweighted = no covariate balancing. |Δ| = absolute difference in unstandardized estimates; Δ% = percent change relative to weighted. Large differences (&gt;20%) suggest sensitivity to weighting approach.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