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Plain Language Summary of Findings</w:t>
      </w:r>
    </w:p>
    <w:p>
      <w:r>
        <w:rPr>
          <w:rFonts w:ascii="Times New Roman" w:hAnsi="Times New Roman"/>
          <w:b w:val="0"/>
          <w:i/>
          <w:sz w:val="24"/>
        </w:rPr>
        <w:t>Generated: January 19, 2026</w:t>
      </w:r>
    </w:p>
    <w:p>
      <w:r>
        <w:rPr>
          <w:rFonts w:ascii="Times New Roman" w:hAnsi="Times New Roman"/>
          <w:b w:val="0"/>
          <w:i/>
          <w:sz w:val="24"/>
        </w:rPr>
        <w:t>Analysis: Bootstrap replicates = 10, CI type = perc</w:t>
      </w:r>
    </w:p>
    <w:p/>
    <w:p>
      <w:pPr>
        <w:pStyle w:val="Heading1"/>
      </w:pPr>
      <w:r>
        <w:rPr>
          <w:rFonts w:ascii="Times New Roman" w:hAnsi="Times New Roman"/>
        </w:rPr>
        <w:t>Study Overview</w:t>
      </w:r>
    </w:p>
    <w:p>
      <w:r>
        <w:rPr>
          <w:rFonts w:ascii="Times New Roman" w:hAnsi="Times New Roman"/>
          <w:b w:val="0"/>
          <w:i w:val="0"/>
          <w:sz w:val="24"/>
        </w:rPr>
        <w:t>This study examined the psychosocial effects of accelerated dual credit participation (FASt status) on first-year developmental adjustment among equity-impacted California community college students. The analysis used conditional-process structural equation modeling (SEM) with propensity score weighting to estimate causal effects.</w:t>
      </w:r>
    </w:p>
    <w:p/>
    <w:p>
      <w:pPr>
        <w:pStyle w:val="Heading1"/>
      </w:pPr>
      <w:r>
        <w:rPr>
          <w:rFonts w:ascii="Times New Roman" w:hAnsi="Times New Roman"/>
        </w:rPr>
        <w:t>Key Constructs</w:t>
      </w:r>
    </w:p>
    <w:p>
      <w:r>
        <w:rPr>
          <w:b/>
        </w:rPr>
        <w:t xml:space="preserve">Treatment (X): </w:t>
      </w:r>
      <w:r>
        <w:t>FASt status — students who matriculated with ≥12 transferable credits</w:t>
      </w:r>
    </w:p>
    <w:p>
      <w:r>
        <w:rPr>
          <w:b/>
        </w:rPr>
        <w:t xml:space="preserve">Moderator (Z): </w:t>
      </w:r>
      <w:r>
        <w:t>Credit dose — the number of dual credit units earned, centered</w:t>
      </w:r>
    </w:p>
    <w:p>
      <w:r>
        <w:rPr>
          <w:b/>
        </w:rPr>
        <w:t xml:space="preserve">Mediator 1: </w:t>
      </w:r>
      <w:r>
        <w:t>Emotional Distress (EmoDiss) — academic stress, loneliness, mental health challenges</w:t>
      </w:r>
    </w:p>
    <w:p>
      <w:r>
        <w:rPr>
          <w:b/>
        </w:rPr>
        <w:t xml:space="preserve">Mediator 2: </w:t>
      </w:r>
      <w:r>
        <w:t>Quality of Engagement (QualEngag) — meaningful interactions with faculty, staff, peers</w:t>
      </w:r>
    </w:p>
    <w:p>
      <w:r>
        <w:rPr>
          <w:b/>
        </w:rPr>
        <w:t xml:space="preserve">Outcome (Y): </w:t>
      </w:r>
      <w:r>
        <w:t>Developmental Adjustment (DevAdj) — sense of belonging, perceived gains, satisfaction</w:t>
      </w:r>
    </w:p>
    <w:p/>
    <w:p>
      <w:pPr>
        <w:pStyle w:val="Heading1"/>
      </w:pPr>
      <w:r>
        <w:rPr>
          <w:rFonts w:ascii="Times New Roman" w:hAnsi="Times New Roman"/>
        </w:rPr>
        <w:t>Key Findings</w:t>
      </w:r>
    </w:p>
    <w:p>
      <w:r>
        <w:rPr>
          <w:rFonts w:ascii="Times New Roman" w:hAnsi="Times New Roman"/>
          <w:b/>
          <w:i w:val="0"/>
          <w:sz w:val="24"/>
        </w:rPr>
        <w:t>Results from the structural model:</w:t>
      </w:r>
    </w:p>
    <w:p/>
    <w:p>
      <w:r>
        <w:rPr>
          <w:rFonts w:ascii="Times New Roman" w:hAnsi="Times New Roman"/>
          <w:b w:val="0"/>
          <w:i w:val="0"/>
          <w:sz w:val="24"/>
        </w:rPr>
        <w:t>[Placeholder: Extract total effect of FASt status on DevAdj]</w:t>
      </w:r>
    </w:p>
    <w:p>
      <w:r>
        <w:rPr>
          <w:rFonts w:ascii="Times New Roman" w:hAnsi="Times New Roman"/>
          <w:b w:val="0"/>
          <w:i w:val="0"/>
          <w:sz w:val="24"/>
        </w:rPr>
        <w:t>[Placeholder: Extract indirect effects through EmoDiss and QualEngag]</w:t>
      </w:r>
    </w:p>
    <w:p>
      <w:r>
        <w:rPr>
          <w:rFonts w:ascii="Times New Roman" w:hAnsi="Times New Roman"/>
          <w:b w:val="0"/>
          <w:i w:val="0"/>
          <w:sz w:val="24"/>
        </w:rPr>
        <w:t>[Placeholder: Extract moderated mediation indices]</w:t>
      </w:r>
    </w:p>
    <w:p/>
    <w:p>
      <w:pPr>
        <w:pStyle w:val="Heading1"/>
      </w:pPr>
      <w:r>
        <w:rPr>
          <w:rFonts w:ascii="Times New Roman" w:hAnsi="Times New Roman"/>
        </w:rPr>
        <w:t>Practical Implications</w:t>
      </w:r>
    </w:p>
    <w:p>
      <w:r>
        <w:rPr>
          <w:rFonts w:ascii="Times New Roman" w:hAnsi="Times New Roman"/>
          <w:b w:val="0"/>
          <w:i w:val="0"/>
          <w:sz w:val="24"/>
        </w:rPr>
        <w:t>[Placeholder: Summarize what these findings mean for policy and practice. Consider implications for dual credit program design, student support services, and equity-focused interventions.]</w:t>
      </w:r>
    </w:p>
    <w:p/>
    <w:p>
      <w:pPr>
        <w:pStyle w:val="Heading1"/>
      </w:pPr>
      <w:r>
        <w:rPr>
          <w:rFonts w:ascii="Times New Roman" w:hAnsi="Times New Roman"/>
        </w:rPr>
        <w:t>Limitations</w:t>
      </w:r>
    </w:p>
    <w:p>
      <w:r>
        <w:rPr>
          <w:rFonts w:ascii="Times New Roman" w:hAnsi="Times New Roman"/>
          <w:b w:val="0"/>
          <w:i w:val="0"/>
          <w:sz w:val="24"/>
        </w:rPr>
        <w:t>[Placeholder: Note key limitations such as observational design, generalizability constraints, measurement considerations, etc.]</w:t>
      </w:r>
    </w:p>
    <w:p/>
    <w:p>
      <w:pPr>
        <w:pStyle w:val="Heading1"/>
      </w:pPr>
      <w:r>
        <w:rPr>
          <w:rFonts w:ascii="Times New Roman" w:hAnsi="Times New Roman"/>
        </w:rPr>
        <w:t>Technical Notes</w:t>
      </w:r>
    </w:p>
    <w:p>
      <w:r>
        <w:rPr>
          <w:rFonts w:ascii="Times New Roman" w:hAnsi="Times New Roman"/>
          <w:b w:val="0"/>
          <w:i/>
          <w:sz w:val="24"/>
        </w:rPr>
        <w:t>This summary is derived from a conditional-process structural equation model estimated using lavaan in R. Propensity score overlap weights were used to reduce selection bias. Bootstrap confidence intervals were computed to assess statistical significance of indirect and conditional effects.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