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Path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 (X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0.210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[0.127, 0.293]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 (X×Z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0.166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[0.133, 0.198]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 (X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0.038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0.053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[-0.067, 0.143]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 (X×Z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-0.263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[-0.305, -0.222]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 (X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[-0.050,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 (X×Z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[0.007, 0.040]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 (M₁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-0.151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[-0.176, -0.125]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 (M₂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[0.088, 0.127]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Bootstrap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[-0.050,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[-0.007,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-0.045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[-0.080, -0.010]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at mean credit dose (Z = 0). Indirect = a × b.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 = 2,000.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[-0.016, 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-0.064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[-0.078, -0.050]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(EmoDiss)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[-0.031, -0.019]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[0.024, 0.058]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[-0.007,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[-0.043, -0.023]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(QualEngag)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[-0.035, -0.022]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effects at −1 SD, mean, +1 SD of credit dose. IMM = a₁z × b (rate of change in indirect per unit Z).</w:t>
      </w:r>
    </w:p>
    <w:p>
      <w:pPr>
        <w:spacing w:before="0"/>
      </w:pPr>
      <w:r>
        <w:rPr>
          <w:rFonts w:ascii="Times New Roman" w:hAnsi="Times New Roman"/>
          <w:sz w:val="20"/>
        </w:rPr>
        <w:t>*95% percentile CI excludes zero. B = 2,000.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