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Process-SEM Model References</w:t>
      </w:r>
    </w:p>
    <w:p>
      <w:r>
        <w:t>References used in the development and validation of the conditional-process SEM model examining psychosocial effects of accelerated dual credit (FASt) on first-year developmental adjustment.</w:t>
      </w:r>
    </w:p>
    <w:p>
      <w:r>
        <w:t>Last Updated: January 2, 2026</w:t>
      </w:r>
    </w:p>
    <w:p/>
    <w:p>
      <w:pPr>
        <w:pStyle w:val="Heading1"/>
      </w:pPr>
      <w:r>
        <w:t>Conditional-Process Analysis (Moderated Mediation)</w:t>
      </w:r>
    </w:p>
    <w:p>
      <w:pPr>
        <w:spacing w:after="120"/>
        <w:ind w:left="720" w:hanging="720"/>
      </w:pPr>
      <w:r>
        <w:t>Hayes, A. F. (2022). Introduction to mediation, moderation, and conditional process analysis: A regression-based approach (3rd ed.). Guilford Press.</w:t>
      </w:r>
    </w:p>
    <w:p>
      <w:pPr>
        <w:spacing w:after="120"/>
        <w:ind w:left="720" w:hanging="720"/>
      </w:pPr>
      <w:r>
        <w:t>Hayes, A. F., &amp; Preacher, K. J. (2014). Statistical mediation analysis with a multicategorical independent variable. British Journal of Mathematical and Statistical Psychology, 67(3), 451-470.</w:t>
      </w:r>
    </w:p>
    <w:p>
      <w:pPr>
        <w:spacing w:after="120"/>
        <w:ind w:left="720" w:hanging="720"/>
      </w:pPr>
      <w:r>
        <w:t>Preacher, K. J., Rucker, D. D., &amp; Hayes, A. F. (2007). Addressing moderated mediation hypotheses: Theory, methods, and prescriptions. Multivariate Behavioral Research, 42(1), 185-227.</w:t>
      </w:r>
    </w:p>
    <w:p>
      <w:pPr>
        <w:pStyle w:val="Heading1"/>
      </w:pPr>
      <w:r>
        <w:t>Structural Equation Modeling (lavaan)</w:t>
      </w:r>
    </w:p>
    <w:p>
      <w:pPr>
        <w:spacing w:after="120"/>
        <w:ind w:left="720" w:hanging="720"/>
      </w:pPr>
      <w:r>
        <w:t>Rosseel, Y. (2012). lavaan: An R package for structural equation modeling. Journal of Statistical Software, 48(2), 1-36.</w:t>
      </w:r>
    </w:p>
    <w:p>
      <w:pPr>
        <w:spacing w:after="120"/>
        <w:ind w:left="720" w:hanging="720"/>
      </w:pPr>
      <w:r>
        <w:t>Kline, R. B. (2016). Principles and practice of structural equation modeling (4th ed.). Guilford Press.</w:t>
      </w:r>
    </w:p>
    <w:p>
      <w:pPr>
        <w:spacing w:after="120"/>
        <w:ind w:left="720" w:hanging="720"/>
      </w:pPr>
      <w:r>
        <w:t>Bollen, K. A. (1989). Structural equations with latent variables. Wiley.</w:t>
      </w:r>
    </w:p>
    <w:p>
      <w:pPr>
        <w:pStyle w:val="Heading1"/>
      </w:pPr>
      <w:r>
        <w:t>Propensity Score Weighting (PSW)</w:t>
      </w:r>
    </w:p>
    <w:p>
      <w:pPr>
        <w:spacing w:after="120"/>
        <w:ind w:left="720" w:hanging="720"/>
      </w:pPr>
      <w:r>
        <w:t>Rosenbaum, P. R., &amp; Rubin, D. B. (1983). The central role of the propensity score in observational studies for causal effects. Biometrika, 70(1), 41-55.</w:t>
      </w:r>
    </w:p>
    <w:p>
      <w:pPr>
        <w:spacing w:after="120"/>
        <w:ind w:left="720" w:hanging="720"/>
      </w:pPr>
      <w:r>
        <w:t>Austin, P. C., &amp; Stuart, E. A. (2015). Moving towards best practice when using inverse probability of treatment weighting (IPTW). Statistics in Medicine, 34(28), 3661-3679.</w:t>
      </w:r>
    </w:p>
    <w:p>
      <w:pPr>
        <w:spacing w:after="120"/>
        <w:ind w:left="720" w:hanging="720"/>
      </w:pPr>
      <w:r>
        <w:t>Li, F., Morgan, K. L., &amp; Zaslavsky, A. M. (2018). Balancing covariates via propensity score weighting. Journal of the American Statistical Association, 113(521), 390-400.</w:t>
      </w:r>
    </w:p>
    <w:p>
      <w:pPr>
        <w:pStyle w:val="Heading1"/>
      </w:pPr>
      <w:r>
        <w:t>Bootstrap Inference</w:t>
      </w:r>
    </w:p>
    <w:p>
      <w:pPr>
        <w:spacing w:after="120"/>
        <w:ind w:left="720" w:hanging="720"/>
      </w:pPr>
      <w:r>
        <w:t>Efron, B., &amp; Tibshirani, R. J. (1993). An introduction to the bootstrap. Chapman &amp; Hall.</w:t>
      </w:r>
    </w:p>
    <w:p>
      <w:pPr>
        <w:spacing w:after="120"/>
        <w:ind w:left="720" w:hanging="720"/>
      </w:pPr>
      <w:r>
        <w:t>MacKinnon, D. P., Lockwood, C. M., &amp; Williams, J. (2004). Confidence limits for the indirect effect. Multivariate Behavioral Research, 39(1), 99-128.</w:t>
      </w:r>
    </w:p>
    <w:p>
      <w:pPr>
        <w:spacing w:after="120"/>
        <w:ind w:left="720" w:hanging="720"/>
      </w:pPr>
      <w:r>
        <w:t>Shrout, P. E., &amp; Bolger, N. (2002). Mediation in experimental and nonexperimental studies. Psychological Methods, 7(4), 422-445.</w:t>
      </w:r>
    </w:p>
    <w:p>
      <w:pPr>
        <w:pStyle w:val="Heading1"/>
      </w:pPr>
      <w:r>
        <w:t>Measurement Invariance</w:t>
      </w:r>
    </w:p>
    <w:p>
      <w:pPr>
        <w:spacing w:after="120"/>
        <w:ind w:left="720" w:hanging="720"/>
      </w:pPr>
      <w:r>
        <w:t>Cheung, G. W., &amp; Rensvold, R. B. (2002). Evaluating goodness-of-fit indexes for testing measurement invariance. Structural Equation Modeling, 9(2), 233-255.</w:t>
      </w:r>
    </w:p>
    <w:p>
      <w:pPr>
        <w:spacing w:after="120"/>
        <w:ind w:left="720" w:hanging="720"/>
      </w:pPr>
      <w:r>
        <w:t>Chen, F. F. (2007). Sensitivity of goodness of fit indexes to lack of measurement invariance. Structural Equation Modeling, 14(3), 464-504.</w:t>
      </w:r>
    </w:p>
    <w:p>
      <w:pPr>
        <w:pStyle w:val="Heading1"/>
      </w:pPr>
      <w:r>
        <w:t>Dual Enrollment Research</w:t>
      </w:r>
    </w:p>
    <w:p>
      <w:pPr>
        <w:spacing w:after="120"/>
        <w:ind w:left="720" w:hanging="720"/>
      </w:pPr>
      <w:r>
        <w:t>An, B. P. (2013). The impact of dual enrollment on college degree attainment. Educational Evaluation and Policy Analysis, 35(1), 57-75.</w:t>
      </w:r>
    </w:p>
    <w:p>
      <w:pPr>
        <w:spacing w:after="120"/>
        <w:ind w:left="720" w:hanging="720"/>
      </w:pPr>
      <w:r>
        <w:t>Giani, M., Alexander, C., &amp; Reyes, P. (2014). Exploring variation in the impact of dual-credit coursework. High School Journal, 97(4), 200-218.</w:t>
      </w:r>
    </w:p>
    <w:p>
      <w:pPr>
        <w:spacing w:after="120"/>
        <w:ind w:left="720" w:hanging="720"/>
      </w:pPr>
      <w:r>
        <w:t>Karp, M. M. (2012). Dual enrollment as a college readiness strategy. New Directions for Higher Education, 2012(158), 21-28.</w:t>
      </w:r>
    </w:p>
    <w:p>
      <w:pPr>
        <w:pStyle w:val="Heading1"/>
      </w:pPr>
      <w:r>
        <w:t>Student Adjustment &amp; Wellbeing</w:t>
      </w:r>
    </w:p>
    <w:p>
      <w:pPr>
        <w:spacing w:after="120"/>
        <w:ind w:left="720" w:hanging="720"/>
      </w:pPr>
      <w:r>
        <w:t>Singh, S., Lee, S., &amp; Lindquist, M. A. (2021). Mental health during the transition to college. Journal of College Student Development, 62(4), 425-440.</w:t>
      </w:r>
    </w:p>
    <w:p>
      <w:pPr>
        <w:spacing w:after="120"/>
        <w:ind w:left="720" w:hanging="720"/>
      </w:pPr>
      <w:r>
        <w:t>Weissbourd, R., et al. (2023). On edge: Understanding and preventing young adults mental health challenges. Harvard Graduate School of Education.</w:t>
      </w:r>
    </w:p>
    <w:p>
      <w:pPr>
        <w:pStyle w:val="Heading1"/>
      </w:pPr>
      <w:r>
        <w:t>NSSE / BCSSE Instruments</w:t>
      </w:r>
    </w:p>
    <w:p>
      <w:pPr>
        <w:spacing w:after="120"/>
        <w:ind w:left="720" w:hanging="720"/>
      </w:pPr>
      <w:r>
        <w:t>National Survey of Student Engagement. (2024). NSSE 2024 codebook. Indiana University Center for Postsecondary Research.</w:t>
      </w:r>
    </w:p>
    <w:p>
      <w:pPr>
        <w:spacing w:after="120"/>
        <w:ind w:left="720" w:hanging="720"/>
      </w:pPr>
      <w:r>
        <w:t>Kuh, G. D. (2009). The National Survey of Student Engagement: Conceptual and empirical foundations. New Directions for Institutional Research, 2009(141), 5-20.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