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Full Model Run: Model and Results Write-Up</w:t>
      </w:r>
    </w:p>
    <w:p>
      <w:pPr>
        <w:jc w:val="center"/>
      </w:pPr>
      <w:r>
        <w:t>Run folder: /Users/jjohnson3/Documents/GitHub/Process-SEM/4_Model_Results/Outputs/FullRun_Prepped_20260103_2037</w:t>
      </w:r>
    </w:p>
    <w:p/>
    <w:p>
      <w:pPr>
        <w:pStyle w:val="Heading2"/>
      </w:pPr>
      <w:r>
        <w:t>1. What was tested</w:t>
      </w:r>
    </w:p>
    <w:p>
      <w:pPr>
        <w:spacing w:after="120"/>
      </w:pPr>
      <w:r>
        <w:t>This analysis tested whether FASt status (entering with 12+ transferable credits) is associated with first-year developmental adjustment, and whether that association operates through emotional distress (EmoDiss) and quality of engagement (QualEngag). Credit dose was treated as a moderator through an interaction term that only varies among FASt students (XZ_c = x_FASt × credit_dose_c).</w:t>
      </w:r>
    </w:p>
    <w:p>
      <w:pPr>
        <w:pStyle w:val="Heading2"/>
      </w:pPr>
      <w:r>
        <w:t>2. Sample and grouping</w:t>
      </w:r>
    </w:p>
    <w:p>
      <w:pPr>
        <w:spacing w:after="120"/>
      </w:pPr>
      <w:r>
        <w:t>Group counts used in this run (credit_band):</w:t>
      </w:r>
    </w:p>
    <w:tbl>
      <w:tblPr>
        <w:tblW w:type="auto" w:w="0"/>
        <w:jc w:val="left"/>
        <w:tblLook w:firstColumn="1" w:firstRow="1" w:lastColumn="0" w:lastRow="0" w:noHBand="0" w:noVBand="1" w:val="04A0"/>
      </w:tblPr>
      <w:tblGrid>
        <w:gridCol w:w="4320"/>
        <w:gridCol w:w="4320"/>
      </w:tblGrid>
      <w:tr>
        <w:tc>
          <w:tcPr>
            <w:tcW w:type="dxa" w:w="4320"/>
          </w:tcPr>
          <w:p>
            <w:r>
              <w:rPr>
                <w:rFonts w:ascii="Times New Roman" w:hAnsi="Times New Roman"/>
                <w:sz w:val="22"/>
              </w:rPr>
              <w:t>Item</w:t>
            </w:r>
          </w:p>
        </w:tc>
        <w:tc>
          <w:tcPr>
            <w:tcW w:type="dxa" w:w="4320"/>
          </w:tcPr>
          <w:p>
            <w:r>
              <w:rPr>
                <w:rFonts w:ascii="Times New Roman" w:hAnsi="Times New Roman"/>
                <w:sz w:val="22"/>
              </w:rPr>
              <w:t>Value</w:t>
            </w:r>
          </w:p>
        </w:tc>
      </w:tr>
      <w:tr>
        <w:tc>
          <w:tcPr>
            <w:tcW w:type="dxa" w:w="4320"/>
          </w:tcPr>
          <w:p>
            <w:r>
              <w:rPr>
                <w:rFonts w:ascii="Times New Roman" w:hAnsi="Times New Roman"/>
                <w:sz w:val="22"/>
              </w:rPr>
              <w:t>non_DE</w:t>
            </w:r>
          </w:p>
        </w:tc>
        <w:tc>
          <w:tcPr>
            <w:tcW w:type="dxa" w:w="4320"/>
          </w:tcPr>
          <w:p>
            <w:r>
              <w:rPr>
                <w:rFonts w:ascii="Times New Roman" w:hAnsi="Times New Roman"/>
                <w:sz w:val="22"/>
              </w:rPr>
              <w:t>263</w:t>
            </w:r>
          </w:p>
        </w:tc>
      </w:tr>
      <w:tr>
        <w:tc>
          <w:tcPr>
            <w:tcW w:type="dxa" w:w="4320"/>
          </w:tcPr>
          <w:p>
            <w:r>
              <w:rPr>
                <w:rFonts w:ascii="Times New Roman" w:hAnsi="Times New Roman"/>
                <w:sz w:val="22"/>
              </w:rPr>
              <w:t>non_FASt_1_11</w:t>
            </w:r>
          </w:p>
        </w:tc>
        <w:tc>
          <w:tcPr>
            <w:tcW w:type="dxa" w:w="4320"/>
          </w:tcPr>
          <w:p>
            <w:r>
              <w:rPr>
                <w:rFonts w:ascii="Times New Roman" w:hAnsi="Times New Roman"/>
                <w:sz w:val="22"/>
              </w:rPr>
              <w:t>2718</w:t>
            </w:r>
          </w:p>
        </w:tc>
      </w:tr>
      <w:tr>
        <w:tc>
          <w:tcPr>
            <w:tcW w:type="dxa" w:w="4320"/>
          </w:tcPr>
          <w:p>
            <w:r>
              <w:rPr>
                <w:rFonts w:ascii="Times New Roman" w:hAnsi="Times New Roman"/>
                <w:sz w:val="22"/>
              </w:rPr>
              <w:t>FASt_12plus</w:t>
            </w:r>
          </w:p>
        </w:tc>
        <w:tc>
          <w:tcPr>
            <w:tcW w:type="dxa" w:w="4320"/>
          </w:tcPr>
          <w:p>
            <w:r>
              <w:rPr>
                <w:rFonts w:ascii="Times New Roman" w:hAnsi="Times New Roman"/>
                <w:sz w:val="22"/>
              </w:rPr>
              <w:t>2019</w:t>
            </w:r>
          </w:p>
        </w:tc>
      </w:tr>
    </w:tbl>
    <w:p>
      <w:pPr>
        <w:pStyle w:val="Heading2"/>
      </w:pPr>
      <w:r>
        <w:t>3. Measures (plain description)</w:t>
      </w:r>
    </w:p>
    <w:p>
      <w:pPr>
        <w:spacing w:after="120"/>
      </w:pPr>
      <w:r>
        <w:t>Developmental adjustment (DevAdj) was modeled as a second-order factor with four first-order factors: Belong (sbvalued, sbmyself, sbcommunity), Gains (pganalyze, pgthink, pgwork, pgvalues, pgprobsolve), SupportEnv (SEacademic, SEwellness, SEnonacad, SEactivities, SEdiverse), and Satisf (sameinst, evalexp).</w:t>
      </w:r>
    </w:p>
    <w:p>
      <w:pPr>
        <w:spacing w:after="120"/>
      </w:pPr>
      <w:r>
        <w:t>Emotional distress (EmoDiss) was modeled using six difficulty items: MHWdacad, MHWdlonely, MHWdmental, MHWdexhaust, MHWdsleep, and MHWdfinancial.</w:t>
      </w:r>
    </w:p>
    <w:p>
      <w:pPr>
        <w:spacing w:after="120"/>
      </w:pPr>
      <w:r>
        <w:t>Quality of engagement (QualEngag) was modeled using five interaction-quality items: QIadmin, QIstudent, QIadvisor, QIfaculty, and QIstaff.</w:t>
      </w:r>
    </w:p>
    <w:p>
      <w:pPr>
        <w:pStyle w:val="Heading2"/>
      </w:pPr>
      <w:r>
        <w:t>4. Structural model (paths)</w:t>
      </w:r>
    </w:p>
    <w:p>
      <w:pPr>
        <w:spacing w:after="120"/>
      </w:pPr>
      <w:r>
        <w:t>The model estimated paths from FASt status (x_FASt) and the treated-only credit-dose interaction (XZ_c) to each mediator (EmoDiss, QualEngag) and to the outcome (DevAdj). DevAdj was also regressed on both mediators. Covariates were included on the mediator and outcome equations (cohort, hgrades_c, bparented_c, pell, hapcl, hprecalc13, hchallenge_c, cSFcareer_c).</w:t>
      </w:r>
    </w:p>
    <w:p>
      <w:pPr>
        <w:spacing w:after="120"/>
      </w:pPr>
      <w:r>
        <w:t>Conditional effects were computed at low (−1 SD), average (0), and high (+1 SD) values of credit_dose_c.</w:t>
      </w:r>
    </w:p>
    <w:p>
      <w:pPr>
        <w:pStyle w:val="Heading2"/>
      </w:pPr>
      <w:r>
        <w:t>5. Model fit</w:t>
      </w:r>
    </w:p>
    <w:p>
      <w:pPr>
        <w:spacing w:after="120"/>
      </w:pPr>
      <w:r>
        <w:t>Parallel conditional-process SEM (primary model):</w:t>
      </w:r>
    </w:p>
    <w:p>
      <w:pPr>
        <w:spacing w:after="120"/>
      </w:pPr>
      <w:r>
        <w:rPr>
          <w:b/>
        </w:rPr>
        <w:t>Fit indices</w:t>
      </w:r>
    </w:p>
    <w:tbl>
      <w:tblPr>
        <w:tblW w:type="auto" w:w="0"/>
        <w:jc w:val="left"/>
        <w:tblLook w:firstColumn="1" w:firstRow="1" w:lastColumn="0" w:lastRow="0" w:noHBand="0" w:noVBand="1" w:val="04A0"/>
      </w:tblPr>
      <w:tblGrid>
        <w:gridCol w:w="4320"/>
        <w:gridCol w:w="4320"/>
      </w:tblGrid>
      <w:tr>
        <w:tc>
          <w:tcPr>
            <w:tcW w:type="dxa" w:w="4320"/>
          </w:tcPr>
          <w:p>
            <w:r>
              <w:rPr>
                <w:rFonts w:ascii="Times New Roman" w:hAnsi="Times New Roman"/>
                <w:sz w:val="22"/>
              </w:rPr>
              <w:t>Item</w:t>
            </w:r>
          </w:p>
        </w:tc>
        <w:tc>
          <w:tcPr>
            <w:tcW w:type="dxa" w:w="4320"/>
          </w:tcPr>
          <w:p>
            <w:r>
              <w:rPr>
                <w:rFonts w:ascii="Times New Roman" w:hAnsi="Times New Roman"/>
                <w:sz w:val="22"/>
              </w:rPr>
              <w:t>Value</w:t>
            </w:r>
          </w:p>
        </w:tc>
      </w:tr>
      <w:tr>
        <w:tc>
          <w:tcPr>
            <w:tcW w:type="dxa" w:w="4320"/>
          </w:tcPr>
          <w:p>
            <w:r>
              <w:rPr>
                <w:rFonts w:ascii="Times New Roman" w:hAnsi="Times New Roman"/>
                <w:sz w:val="22"/>
              </w:rPr>
              <w:t>χ²(df)</w:t>
            </w:r>
          </w:p>
        </w:tc>
        <w:tc>
          <w:tcPr>
            <w:tcW w:type="dxa" w:w="4320"/>
          </w:tcPr>
          <w:p>
            <w:r>
              <w:rPr>
                <w:rFonts w:ascii="Times New Roman" w:hAnsi="Times New Roman"/>
                <w:sz w:val="22"/>
              </w:rPr>
              <w:t>942.074 (523)</w:t>
            </w:r>
          </w:p>
        </w:tc>
      </w:tr>
      <w:tr>
        <w:tc>
          <w:tcPr>
            <w:tcW w:type="dxa" w:w="4320"/>
          </w:tcPr>
          <w:p>
            <w:r>
              <w:rPr>
                <w:rFonts w:ascii="Times New Roman" w:hAnsi="Times New Roman"/>
                <w:sz w:val="22"/>
              </w:rPr>
              <w:t>CFI</w:t>
            </w:r>
          </w:p>
        </w:tc>
        <w:tc>
          <w:tcPr>
            <w:tcW w:type="dxa" w:w="4320"/>
          </w:tcPr>
          <w:p>
            <w:r>
              <w:rPr>
                <w:rFonts w:ascii="Times New Roman" w:hAnsi="Times New Roman"/>
                <w:sz w:val="22"/>
              </w:rPr>
              <w:t>0.996</w:t>
            </w:r>
          </w:p>
        </w:tc>
      </w:tr>
      <w:tr>
        <w:tc>
          <w:tcPr>
            <w:tcW w:type="dxa" w:w="4320"/>
          </w:tcPr>
          <w:p>
            <w:r>
              <w:rPr>
                <w:rFonts w:ascii="Times New Roman" w:hAnsi="Times New Roman"/>
                <w:sz w:val="22"/>
              </w:rPr>
              <w:t>TLI</w:t>
            </w:r>
          </w:p>
        </w:tc>
        <w:tc>
          <w:tcPr>
            <w:tcW w:type="dxa" w:w="4320"/>
          </w:tcPr>
          <w:p>
            <w:r>
              <w:rPr>
                <w:rFonts w:ascii="Times New Roman" w:hAnsi="Times New Roman"/>
                <w:sz w:val="22"/>
              </w:rPr>
              <w:t>0.996</w:t>
            </w:r>
          </w:p>
        </w:tc>
      </w:tr>
      <w:tr>
        <w:tc>
          <w:tcPr>
            <w:tcW w:type="dxa" w:w="4320"/>
          </w:tcPr>
          <w:p>
            <w:r>
              <w:rPr>
                <w:rFonts w:ascii="Times New Roman" w:hAnsi="Times New Roman"/>
                <w:sz w:val="22"/>
              </w:rPr>
              <w:t>RMSEA</w:t>
            </w:r>
          </w:p>
        </w:tc>
        <w:tc>
          <w:tcPr>
            <w:tcW w:type="dxa" w:w="4320"/>
          </w:tcPr>
          <w:p>
            <w:r>
              <w:rPr>
                <w:rFonts w:ascii="Times New Roman" w:hAnsi="Times New Roman"/>
                <w:sz w:val="22"/>
              </w:rPr>
              <w:t>0.013</w:t>
            </w:r>
          </w:p>
        </w:tc>
      </w:tr>
      <w:tr>
        <w:tc>
          <w:tcPr>
            <w:tcW w:type="dxa" w:w="4320"/>
          </w:tcPr>
          <w:p>
            <w:r>
              <w:rPr>
                <w:rFonts w:ascii="Times New Roman" w:hAnsi="Times New Roman"/>
                <w:sz w:val="22"/>
              </w:rPr>
              <w:t>SRMR</w:t>
            </w:r>
          </w:p>
        </w:tc>
        <w:tc>
          <w:tcPr>
            <w:tcW w:type="dxa" w:w="4320"/>
          </w:tcPr>
          <w:p>
            <w:r>
              <w:rPr>
                <w:rFonts w:ascii="Times New Roman" w:hAnsi="Times New Roman"/>
                <w:sz w:val="22"/>
              </w:rPr>
              <w:t>0.034</w:t>
            </w:r>
          </w:p>
        </w:tc>
      </w:tr>
    </w:tbl>
    <w:p>
      <w:pPr>
        <w:spacing w:after="120"/>
      </w:pPr>
      <w:r>
        <w:t>Total effect model (DevAdj ~ x_FASt only):</w:t>
      </w:r>
    </w:p>
    <w:p>
      <w:pPr>
        <w:spacing w:after="120"/>
      </w:pPr>
      <w:r>
        <w:rPr>
          <w:b/>
        </w:rPr>
        <w:t>Fit indices</w:t>
      </w:r>
    </w:p>
    <w:tbl>
      <w:tblPr>
        <w:tblW w:type="auto" w:w="0"/>
        <w:jc w:val="left"/>
        <w:tblLook w:firstColumn="1" w:firstRow="1" w:lastColumn="0" w:lastRow="0" w:noHBand="0" w:noVBand="1" w:val="04A0"/>
      </w:tblPr>
      <w:tblGrid>
        <w:gridCol w:w="4320"/>
        <w:gridCol w:w="4320"/>
      </w:tblGrid>
      <w:tr>
        <w:tc>
          <w:tcPr>
            <w:tcW w:type="dxa" w:w="4320"/>
          </w:tcPr>
          <w:p>
            <w:r>
              <w:rPr>
                <w:rFonts w:ascii="Times New Roman" w:hAnsi="Times New Roman"/>
                <w:sz w:val="22"/>
              </w:rPr>
              <w:t>Item</w:t>
            </w:r>
          </w:p>
        </w:tc>
        <w:tc>
          <w:tcPr>
            <w:tcW w:type="dxa" w:w="4320"/>
          </w:tcPr>
          <w:p>
            <w:r>
              <w:rPr>
                <w:rFonts w:ascii="Times New Roman" w:hAnsi="Times New Roman"/>
                <w:sz w:val="22"/>
              </w:rPr>
              <w:t>Value</w:t>
            </w:r>
          </w:p>
        </w:tc>
      </w:tr>
      <w:tr>
        <w:tc>
          <w:tcPr>
            <w:tcW w:type="dxa" w:w="4320"/>
          </w:tcPr>
          <w:p>
            <w:r>
              <w:rPr>
                <w:rFonts w:ascii="Times New Roman" w:hAnsi="Times New Roman"/>
                <w:sz w:val="22"/>
              </w:rPr>
              <w:t>χ²(df)</w:t>
            </w:r>
          </w:p>
        </w:tc>
        <w:tc>
          <w:tcPr>
            <w:tcW w:type="dxa" w:w="4320"/>
          </w:tcPr>
          <w:p>
            <w:r>
              <w:rPr>
                <w:rFonts w:ascii="Times New Roman" w:hAnsi="Times New Roman"/>
                <w:sz w:val="22"/>
              </w:rPr>
              <w:t>3655.020 (319)</w:t>
            </w:r>
          </w:p>
        </w:tc>
      </w:tr>
      <w:tr>
        <w:tc>
          <w:tcPr>
            <w:tcW w:type="dxa" w:w="4320"/>
          </w:tcPr>
          <w:p>
            <w:r>
              <w:rPr>
                <w:rFonts w:ascii="Times New Roman" w:hAnsi="Times New Roman"/>
                <w:sz w:val="22"/>
              </w:rPr>
              <w:t>CFI</w:t>
            </w:r>
          </w:p>
        </w:tc>
        <w:tc>
          <w:tcPr>
            <w:tcW w:type="dxa" w:w="4320"/>
          </w:tcPr>
          <w:p>
            <w:r>
              <w:rPr>
                <w:rFonts w:ascii="Times New Roman" w:hAnsi="Times New Roman"/>
                <w:sz w:val="22"/>
              </w:rPr>
              <w:t>0.971</w:t>
            </w:r>
          </w:p>
        </w:tc>
      </w:tr>
      <w:tr>
        <w:tc>
          <w:tcPr>
            <w:tcW w:type="dxa" w:w="4320"/>
          </w:tcPr>
          <w:p>
            <w:r>
              <w:rPr>
                <w:rFonts w:ascii="Times New Roman" w:hAnsi="Times New Roman"/>
                <w:sz w:val="22"/>
              </w:rPr>
              <w:t>TLI</w:t>
            </w:r>
          </w:p>
        </w:tc>
        <w:tc>
          <w:tcPr>
            <w:tcW w:type="dxa" w:w="4320"/>
          </w:tcPr>
          <w:p>
            <w:r>
              <w:rPr>
                <w:rFonts w:ascii="Times New Roman" w:hAnsi="Times New Roman"/>
                <w:sz w:val="22"/>
              </w:rPr>
              <w:t>0.968</w:t>
            </w:r>
          </w:p>
        </w:tc>
      </w:tr>
      <w:tr>
        <w:tc>
          <w:tcPr>
            <w:tcW w:type="dxa" w:w="4320"/>
          </w:tcPr>
          <w:p>
            <w:r>
              <w:rPr>
                <w:rFonts w:ascii="Times New Roman" w:hAnsi="Times New Roman"/>
                <w:sz w:val="22"/>
              </w:rPr>
              <w:t>RMSEA</w:t>
            </w:r>
          </w:p>
        </w:tc>
        <w:tc>
          <w:tcPr>
            <w:tcW w:type="dxa" w:w="4320"/>
          </w:tcPr>
          <w:p>
            <w:r>
              <w:rPr>
                <w:rFonts w:ascii="Times New Roman" w:hAnsi="Times New Roman"/>
                <w:sz w:val="22"/>
              </w:rPr>
              <w:t>0.046</w:t>
            </w:r>
          </w:p>
        </w:tc>
      </w:tr>
      <w:tr>
        <w:tc>
          <w:tcPr>
            <w:tcW w:type="dxa" w:w="4320"/>
          </w:tcPr>
          <w:p>
            <w:r>
              <w:rPr>
                <w:rFonts w:ascii="Times New Roman" w:hAnsi="Times New Roman"/>
                <w:sz w:val="22"/>
              </w:rPr>
              <w:t>SRMR</w:t>
            </w:r>
          </w:p>
        </w:tc>
        <w:tc>
          <w:tcPr>
            <w:tcW w:type="dxa" w:w="4320"/>
          </w:tcPr>
          <w:p>
            <w:r>
              <w:rPr>
                <w:rFonts w:ascii="Times New Roman" w:hAnsi="Times New Roman"/>
                <w:sz w:val="22"/>
              </w:rPr>
              <w:t>0.184</w:t>
            </w:r>
          </w:p>
        </w:tc>
      </w:tr>
    </w:tbl>
    <w:p>
      <w:pPr>
        <w:spacing w:after="120"/>
      </w:pPr>
      <w:r>
        <w:t>Serial exploratory model (adds EmoDiss → QualEngag):</w:t>
      </w:r>
    </w:p>
    <w:p>
      <w:pPr>
        <w:spacing w:after="120"/>
      </w:pPr>
      <w:r>
        <w:rPr>
          <w:b/>
        </w:rPr>
        <w:t>Fit indices</w:t>
      </w:r>
    </w:p>
    <w:tbl>
      <w:tblPr>
        <w:tblW w:type="auto" w:w="0"/>
        <w:jc w:val="left"/>
        <w:tblLook w:firstColumn="1" w:firstRow="1" w:lastColumn="0" w:lastRow="0" w:noHBand="0" w:noVBand="1" w:val="04A0"/>
      </w:tblPr>
      <w:tblGrid>
        <w:gridCol w:w="4320"/>
        <w:gridCol w:w="4320"/>
      </w:tblGrid>
      <w:tr>
        <w:tc>
          <w:tcPr>
            <w:tcW w:type="dxa" w:w="4320"/>
          </w:tcPr>
          <w:p>
            <w:r>
              <w:rPr>
                <w:rFonts w:ascii="Times New Roman" w:hAnsi="Times New Roman"/>
                <w:sz w:val="22"/>
              </w:rPr>
              <w:t>Item</w:t>
            </w:r>
          </w:p>
        </w:tc>
        <w:tc>
          <w:tcPr>
            <w:tcW w:type="dxa" w:w="4320"/>
          </w:tcPr>
          <w:p>
            <w:r>
              <w:rPr>
                <w:rFonts w:ascii="Times New Roman" w:hAnsi="Times New Roman"/>
                <w:sz w:val="22"/>
              </w:rPr>
              <w:t>Value</w:t>
            </w:r>
          </w:p>
        </w:tc>
      </w:tr>
      <w:tr>
        <w:tc>
          <w:tcPr>
            <w:tcW w:type="dxa" w:w="4320"/>
          </w:tcPr>
          <w:p>
            <w:r>
              <w:rPr>
                <w:rFonts w:ascii="Times New Roman" w:hAnsi="Times New Roman"/>
                <w:sz w:val="22"/>
              </w:rPr>
              <w:t>χ²(df)</w:t>
            </w:r>
          </w:p>
        </w:tc>
        <w:tc>
          <w:tcPr>
            <w:tcW w:type="dxa" w:w="4320"/>
          </w:tcPr>
          <w:p>
            <w:r>
              <w:rPr>
                <w:rFonts w:ascii="Times New Roman" w:hAnsi="Times New Roman"/>
                <w:sz w:val="22"/>
              </w:rPr>
              <w:t>765.785 (522)</w:t>
            </w:r>
          </w:p>
        </w:tc>
      </w:tr>
      <w:tr>
        <w:tc>
          <w:tcPr>
            <w:tcW w:type="dxa" w:w="4320"/>
          </w:tcPr>
          <w:p>
            <w:r>
              <w:rPr>
                <w:rFonts w:ascii="Times New Roman" w:hAnsi="Times New Roman"/>
                <w:sz w:val="22"/>
              </w:rPr>
              <w:t>CFI</w:t>
            </w:r>
          </w:p>
        </w:tc>
        <w:tc>
          <w:tcPr>
            <w:tcW w:type="dxa" w:w="4320"/>
          </w:tcPr>
          <w:p>
            <w:r>
              <w:rPr>
                <w:rFonts w:ascii="Times New Roman" w:hAnsi="Times New Roman"/>
                <w:sz w:val="22"/>
              </w:rPr>
              <w:t>0.998</w:t>
            </w:r>
          </w:p>
        </w:tc>
      </w:tr>
      <w:tr>
        <w:tc>
          <w:tcPr>
            <w:tcW w:type="dxa" w:w="4320"/>
          </w:tcPr>
          <w:p>
            <w:r>
              <w:rPr>
                <w:rFonts w:ascii="Times New Roman" w:hAnsi="Times New Roman"/>
                <w:sz w:val="22"/>
              </w:rPr>
              <w:t>TLI</w:t>
            </w:r>
          </w:p>
        </w:tc>
        <w:tc>
          <w:tcPr>
            <w:tcW w:type="dxa" w:w="4320"/>
          </w:tcPr>
          <w:p>
            <w:r>
              <w:rPr>
                <w:rFonts w:ascii="Times New Roman" w:hAnsi="Times New Roman"/>
                <w:sz w:val="22"/>
              </w:rPr>
              <w:t>0.998</w:t>
            </w:r>
          </w:p>
        </w:tc>
      </w:tr>
      <w:tr>
        <w:tc>
          <w:tcPr>
            <w:tcW w:type="dxa" w:w="4320"/>
          </w:tcPr>
          <w:p>
            <w:r>
              <w:rPr>
                <w:rFonts w:ascii="Times New Roman" w:hAnsi="Times New Roman"/>
                <w:sz w:val="22"/>
              </w:rPr>
              <w:t>RMSEA</w:t>
            </w:r>
          </w:p>
        </w:tc>
        <w:tc>
          <w:tcPr>
            <w:tcW w:type="dxa" w:w="4320"/>
          </w:tcPr>
          <w:p>
            <w:r>
              <w:rPr>
                <w:rFonts w:ascii="Times New Roman" w:hAnsi="Times New Roman"/>
                <w:sz w:val="22"/>
              </w:rPr>
              <w:t>0.010</w:t>
            </w:r>
          </w:p>
        </w:tc>
      </w:tr>
      <w:tr>
        <w:tc>
          <w:tcPr>
            <w:tcW w:type="dxa" w:w="4320"/>
          </w:tcPr>
          <w:p>
            <w:r>
              <w:rPr>
                <w:rFonts w:ascii="Times New Roman" w:hAnsi="Times New Roman"/>
                <w:sz w:val="22"/>
              </w:rPr>
              <w:t>SRMR</w:t>
            </w:r>
          </w:p>
        </w:tc>
        <w:tc>
          <w:tcPr>
            <w:tcW w:type="dxa" w:w="4320"/>
          </w:tcPr>
          <w:p>
            <w:r>
              <w:rPr>
                <w:rFonts w:ascii="Times New Roman" w:hAnsi="Times New Roman"/>
                <w:sz w:val="22"/>
              </w:rPr>
              <w:t>0.013</w:t>
            </w:r>
          </w:p>
        </w:tc>
      </w:tr>
    </w:tbl>
    <w:p>
      <w:pPr>
        <w:pStyle w:val="Heading2"/>
      </w:pPr>
      <w:r>
        <w:t>6. Main structural results (parallel model)</w:t>
      </w:r>
    </w:p>
    <w:p>
      <w:pPr>
        <w:spacing w:after="120"/>
      </w:pPr>
      <w:r>
        <w:t>Table 1 summarizes the primary structural paths for the parallel conditional-process SEM.</w:t>
      </w:r>
    </w:p>
    <w:p>
      <w:pPr>
        <w:spacing w:after="120"/>
      </w:pPr>
      <w:r>
        <w:rPr>
          <w:b/>
        </w:rPr>
        <w:t>Table 1. Key paths (parallel model)</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20"/>
              </w:rPr>
              <w:t>Parameter</w:t>
            </w:r>
          </w:p>
        </w:tc>
        <w:tc>
          <w:tcPr>
            <w:tcW w:type="dxa" w:w="1728"/>
          </w:tcPr>
          <w:p>
            <w:r>
              <w:rPr>
                <w:rFonts w:ascii="Times New Roman" w:hAnsi="Times New Roman"/>
                <w:sz w:val="20"/>
              </w:rPr>
              <w:t>Estimate</w:t>
            </w:r>
          </w:p>
        </w:tc>
        <w:tc>
          <w:tcPr>
            <w:tcW w:type="dxa" w:w="1728"/>
          </w:tcPr>
          <w:p>
            <w:r>
              <w:rPr>
                <w:rFonts w:ascii="Times New Roman" w:hAnsi="Times New Roman"/>
                <w:sz w:val="20"/>
              </w:rPr>
              <w:t>SE</w:t>
            </w:r>
          </w:p>
        </w:tc>
        <w:tc>
          <w:tcPr>
            <w:tcW w:type="dxa" w:w="1728"/>
          </w:tcPr>
          <w:p>
            <w:r>
              <w:rPr>
                <w:rFonts w:ascii="Times New Roman" w:hAnsi="Times New Roman"/>
                <w:sz w:val="20"/>
              </w:rPr>
              <w:t>p</w:t>
            </w:r>
          </w:p>
        </w:tc>
        <w:tc>
          <w:tcPr>
            <w:tcW w:type="dxa" w:w="1728"/>
          </w:tcPr>
          <w:p>
            <w:r>
              <w:rPr>
                <w:rFonts w:ascii="Times New Roman" w:hAnsi="Times New Roman"/>
                <w:sz w:val="20"/>
              </w:rPr>
              <w:t>95% CI</w:t>
            </w:r>
          </w:p>
        </w:tc>
      </w:tr>
      <w:tr>
        <w:tc>
          <w:tcPr>
            <w:tcW w:type="dxa" w:w="1728"/>
          </w:tcPr>
          <w:p>
            <w:r>
              <w:rPr>
                <w:rFonts w:ascii="Times New Roman" w:hAnsi="Times New Roman"/>
                <w:sz w:val="20"/>
              </w:rPr>
              <w:t>FASt → EmoDiss (a1)</w:t>
            </w:r>
          </w:p>
        </w:tc>
        <w:tc>
          <w:tcPr>
            <w:tcW w:type="dxa" w:w="1728"/>
          </w:tcPr>
          <w:p>
            <w:r>
              <w:rPr>
                <w:rFonts w:ascii="Times New Roman" w:hAnsi="Times New Roman"/>
                <w:sz w:val="20"/>
              </w:rPr>
              <w:t>0.164</w:t>
            </w:r>
          </w:p>
        </w:tc>
        <w:tc>
          <w:tcPr>
            <w:tcW w:type="dxa" w:w="1728"/>
          </w:tcPr>
          <w:p>
            <w:r>
              <w:rPr>
                <w:rFonts w:ascii="Times New Roman" w:hAnsi="Times New Roman"/>
                <w:sz w:val="20"/>
              </w:rPr>
              <w:t>0.040</w:t>
            </w:r>
          </w:p>
        </w:tc>
        <w:tc>
          <w:tcPr>
            <w:tcW w:type="dxa" w:w="1728"/>
          </w:tcPr>
          <w:p>
            <w:r>
              <w:rPr>
                <w:rFonts w:ascii="Times New Roman" w:hAnsi="Times New Roman"/>
                <w:sz w:val="20"/>
              </w:rPr>
              <w:t>&lt; .001</w:t>
            </w:r>
          </w:p>
        </w:tc>
        <w:tc>
          <w:tcPr>
            <w:tcW w:type="dxa" w:w="1728"/>
          </w:tcPr>
          <w:p>
            <w:r>
              <w:rPr>
                <w:rFonts w:ascii="Times New Roman" w:hAnsi="Times New Roman"/>
                <w:sz w:val="20"/>
              </w:rPr>
              <w:t>[0.086, 0.242]</w:t>
            </w:r>
          </w:p>
        </w:tc>
      </w:tr>
      <w:tr>
        <w:tc>
          <w:tcPr>
            <w:tcW w:type="dxa" w:w="1728"/>
          </w:tcPr>
          <w:p>
            <w:r>
              <w:rPr>
                <w:rFonts w:ascii="Times New Roman" w:hAnsi="Times New Roman"/>
                <w:sz w:val="20"/>
              </w:rPr>
              <w:t>FASt×credit dose → EmoDiss (a1z)</w:t>
            </w:r>
          </w:p>
        </w:tc>
        <w:tc>
          <w:tcPr>
            <w:tcW w:type="dxa" w:w="1728"/>
          </w:tcPr>
          <w:p>
            <w:r>
              <w:rPr>
                <w:rFonts w:ascii="Times New Roman" w:hAnsi="Times New Roman"/>
                <w:sz w:val="20"/>
              </w:rPr>
              <w:t>0.005</w:t>
            </w:r>
          </w:p>
        </w:tc>
        <w:tc>
          <w:tcPr>
            <w:tcW w:type="dxa" w:w="1728"/>
          </w:tcPr>
          <w:p>
            <w:r>
              <w:rPr>
                <w:rFonts w:ascii="Times New Roman" w:hAnsi="Times New Roman"/>
                <w:sz w:val="20"/>
              </w:rPr>
              <w:t>0.015</w:t>
            </w:r>
          </w:p>
        </w:tc>
        <w:tc>
          <w:tcPr>
            <w:tcW w:type="dxa" w:w="1728"/>
          </w:tcPr>
          <w:p>
            <w:r>
              <w:rPr>
                <w:rFonts w:ascii="Times New Roman" w:hAnsi="Times New Roman"/>
                <w:sz w:val="20"/>
              </w:rPr>
              <w:t>= .713</w:t>
            </w:r>
          </w:p>
        </w:tc>
        <w:tc>
          <w:tcPr>
            <w:tcW w:type="dxa" w:w="1728"/>
          </w:tcPr>
          <w:p>
            <w:r>
              <w:rPr>
                <w:rFonts w:ascii="Times New Roman" w:hAnsi="Times New Roman"/>
                <w:sz w:val="20"/>
              </w:rPr>
              <w:t>[-0.023, 0.034]</w:t>
            </w:r>
          </w:p>
        </w:tc>
      </w:tr>
      <w:tr>
        <w:tc>
          <w:tcPr>
            <w:tcW w:type="dxa" w:w="1728"/>
          </w:tcPr>
          <w:p>
            <w:r>
              <w:rPr>
                <w:rFonts w:ascii="Times New Roman" w:hAnsi="Times New Roman"/>
                <w:sz w:val="20"/>
              </w:rPr>
              <w:t>FASt → QualEngag (a2)</w:t>
            </w:r>
          </w:p>
        </w:tc>
        <w:tc>
          <w:tcPr>
            <w:tcW w:type="dxa" w:w="1728"/>
          </w:tcPr>
          <w:p>
            <w:r>
              <w:rPr>
                <w:rFonts w:ascii="Times New Roman" w:hAnsi="Times New Roman"/>
                <w:sz w:val="20"/>
              </w:rPr>
              <w:t>0.006</w:t>
            </w:r>
          </w:p>
        </w:tc>
        <w:tc>
          <w:tcPr>
            <w:tcW w:type="dxa" w:w="1728"/>
          </w:tcPr>
          <w:p>
            <w:r>
              <w:rPr>
                <w:rFonts w:ascii="Times New Roman" w:hAnsi="Times New Roman"/>
                <w:sz w:val="20"/>
              </w:rPr>
              <w:t>0.038</w:t>
            </w:r>
          </w:p>
        </w:tc>
        <w:tc>
          <w:tcPr>
            <w:tcW w:type="dxa" w:w="1728"/>
          </w:tcPr>
          <w:p>
            <w:r>
              <w:rPr>
                <w:rFonts w:ascii="Times New Roman" w:hAnsi="Times New Roman"/>
                <w:sz w:val="20"/>
              </w:rPr>
              <w:t>= .875</w:t>
            </w:r>
          </w:p>
        </w:tc>
        <w:tc>
          <w:tcPr>
            <w:tcW w:type="dxa" w:w="1728"/>
          </w:tcPr>
          <w:p>
            <w:r>
              <w:rPr>
                <w:rFonts w:ascii="Times New Roman" w:hAnsi="Times New Roman"/>
                <w:sz w:val="20"/>
              </w:rPr>
              <w:t>[-0.068, 0.080]</w:t>
            </w:r>
          </w:p>
        </w:tc>
      </w:tr>
      <w:tr>
        <w:tc>
          <w:tcPr>
            <w:tcW w:type="dxa" w:w="1728"/>
          </w:tcPr>
          <w:p>
            <w:r>
              <w:rPr>
                <w:rFonts w:ascii="Times New Roman" w:hAnsi="Times New Roman"/>
                <w:sz w:val="20"/>
              </w:rPr>
              <w:t>FASt×credit dose → QualEngag (a2z)</w:t>
            </w:r>
          </w:p>
        </w:tc>
        <w:tc>
          <w:tcPr>
            <w:tcW w:type="dxa" w:w="1728"/>
          </w:tcPr>
          <w:p>
            <w:r>
              <w:rPr>
                <w:rFonts w:ascii="Times New Roman" w:hAnsi="Times New Roman"/>
                <w:sz w:val="20"/>
              </w:rPr>
              <w:t>-0.017</w:t>
            </w:r>
          </w:p>
        </w:tc>
        <w:tc>
          <w:tcPr>
            <w:tcW w:type="dxa" w:w="1728"/>
          </w:tcPr>
          <w:p>
            <w:r>
              <w:rPr>
                <w:rFonts w:ascii="Times New Roman" w:hAnsi="Times New Roman"/>
                <w:sz w:val="20"/>
              </w:rPr>
              <w:t>0.014</w:t>
            </w:r>
          </w:p>
        </w:tc>
        <w:tc>
          <w:tcPr>
            <w:tcW w:type="dxa" w:w="1728"/>
          </w:tcPr>
          <w:p>
            <w:r>
              <w:rPr>
                <w:rFonts w:ascii="Times New Roman" w:hAnsi="Times New Roman"/>
                <w:sz w:val="20"/>
              </w:rPr>
              <w:t>= .229</w:t>
            </w:r>
          </w:p>
        </w:tc>
        <w:tc>
          <w:tcPr>
            <w:tcW w:type="dxa" w:w="1728"/>
          </w:tcPr>
          <w:p>
            <w:r>
              <w:rPr>
                <w:rFonts w:ascii="Times New Roman" w:hAnsi="Times New Roman"/>
                <w:sz w:val="20"/>
              </w:rPr>
              <w:t>[-0.046, 0.011]</w:t>
            </w:r>
          </w:p>
        </w:tc>
      </w:tr>
      <w:tr>
        <w:tc>
          <w:tcPr>
            <w:tcW w:type="dxa" w:w="1728"/>
          </w:tcPr>
          <w:p>
            <w:r>
              <w:rPr>
                <w:rFonts w:ascii="Times New Roman" w:hAnsi="Times New Roman"/>
                <w:sz w:val="20"/>
              </w:rPr>
              <w:t>EmoDiss → DevAdj (b1)</w:t>
            </w:r>
          </w:p>
        </w:tc>
        <w:tc>
          <w:tcPr>
            <w:tcW w:type="dxa" w:w="1728"/>
          </w:tcPr>
          <w:p>
            <w:r>
              <w:rPr>
                <w:rFonts w:ascii="Times New Roman" w:hAnsi="Times New Roman"/>
                <w:sz w:val="20"/>
              </w:rPr>
              <w:t>-0.198</w:t>
            </w:r>
          </w:p>
        </w:tc>
        <w:tc>
          <w:tcPr>
            <w:tcW w:type="dxa" w:w="1728"/>
          </w:tcPr>
          <w:p>
            <w:r>
              <w:rPr>
                <w:rFonts w:ascii="Times New Roman" w:hAnsi="Times New Roman"/>
                <w:sz w:val="20"/>
              </w:rPr>
              <w:t>0.008</w:t>
            </w:r>
          </w:p>
        </w:tc>
        <w:tc>
          <w:tcPr>
            <w:tcW w:type="dxa" w:w="1728"/>
          </w:tcPr>
          <w:p>
            <w:r>
              <w:rPr>
                <w:rFonts w:ascii="Times New Roman" w:hAnsi="Times New Roman"/>
                <w:sz w:val="20"/>
              </w:rPr>
              <w:t>&lt; .001</w:t>
            </w:r>
          </w:p>
        </w:tc>
        <w:tc>
          <w:tcPr>
            <w:tcW w:type="dxa" w:w="1728"/>
          </w:tcPr>
          <w:p>
            <w:r>
              <w:rPr>
                <w:rFonts w:ascii="Times New Roman" w:hAnsi="Times New Roman"/>
                <w:sz w:val="20"/>
              </w:rPr>
              <w:t>[-0.214, -0.182]</w:t>
            </w:r>
          </w:p>
        </w:tc>
      </w:tr>
      <w:tr>
        <w:tc>
          <w:tcPr>
            <w:tcW w:type="dxa" w:w="1728"/>
          </w:tcPr>
          <w:p>
            <w:r>
              <w:rPr>
                <w:rFonts w:ascii="Times New Roman" w:hAnsi="Times New Roman"/>
                <w:sz w:val="20"/>
              </w:rPr>
              <w:t>QualEngag → DevAdj (b2)</w:t>
            </w:r>
          </w:p>
        </w:tc>
        <w:tc>
          <w:tcPr>
            <w:tcW w:type="dxa" w:w="1728"/>
          </w:tcPr>
          <w:p>
            <w:r>
              <w:rPr>
                <w:rFonts w:ascii="Times New Roman" w:hAnsi="Times New Roman"/>
                <w:sz w:val="20"/>
              </w:rPr>
              <w:t>0.134</w:t>
            </w:r>
          </w:p>
        </w:tc>
        <w:tc>
          <w:tcPr>
            <w:tcW w:type="dxa" w:w="1728"/>
          </w:tcPr>
          <w:p>
            <w:r>
              <w:rPr>
                <w:rFonts w:ascii="Times New Roman" w:hAnsi="Times New Roman"/>
                <w:sz w:val="20"/>
              </w:rPr>
              <w:t>0.007</w:t>
            </w:r>
          </w:p>
        </w:tc>
        <w:tc>
          <w:tcPr>
            <w:tcW w:type="dxa" w:w="1728"/>
          </w:tcPr>
          <w:p>
            <w:r>
              <w:rPr>
                <w:rFonts w:ascii="Times New Roman" w:hAnsi="Times New Roman"/>
                <w:sz w:val="20"/>
              </w:rPr>
              <w:t>&lt; .001</w:t>
            </w:r>
          </w:p>
        </w:tc>
        <w:tc>
          <w:tcPr>
            <w:tcW w:type="dxa" w:w="1728"/>
          </w:tcPr>
          <w:p>
            <w:r>
              <w:rPr>
                <w:rFonts w:ascii="Times New Roman" w:hAnsi="Times New Roman"/>
                <w:sz w:val="20"/>
              </w:rPr>
              <w:t>[0.120, 0.148]</w:t>
            </w:r>
          </w:p>
        </w:tc>
      </w:tr>
      <w:tr>
        <w:tc>
          <w:tcPr>
            <w:tcW w:type="dxa" w:w="1728"/>
          </w:tcPr>
          <w:p>
            <w:r>
              <w:rPr>
                <w:rFonts w:ascii="Times New Roman" w:hAnsi="Times New Roman"/>
                <w:sz w:val="20"/>
              </w:rPr>
              <w:t>Direct FASt → DevAdj (c)</w:t>
            </w:r>
          </w:p>
        </w:tc>
        <w:tc>
          <w:tcPr>
            <w:tcW w:type="dxa" w:w="1728"/>
          </w:tcPr>
          <w:p>
            <w:r>
              <w:rPr>
                <w:rFonts w:ascii="Times New Roman" w:hAnsi="Times New Roman"/>
                <w:sz w:val="20"/>
              </w:rPr>
              <w:t>-0.011</w:t>
            </w:r>
          </w:p>
        </w:tc>
        <w:tc>
          <w:tcPr>
            <w:tcW w:type="dxa" w:w="1728"/>
          </w:tcPr>
          <w:p>
            <w:r>
              <w:rPr>
                <w:rFonts w:ascii="Times New Roman" w:hAnsi="Times New Roman"/>
                <w:sz w:val="20"/>
              </w:rPr>
              <w:t>0.014</w:t>
            </w:r>
          </w:p>
        </w:tc>
        <w:tc>
          <w:tcPr>
            <w:tcW w:type="dxa" w:w="1728"/>
          </w:tcPr>
          <w:p>
            <w:r>
              <w:rPr>
                <w:rFonts w:ascii="Times New Roman" w:hAnsi="Times New Roman"/>
                <w:sz w:val="20"/>
              </w:rPr>
              <w:t>= .414</w:t>
            </w:r>
          </w:p>
        </w:tc>
        <w:tc>
          <w:tcPr>
            <w:tcW w:type="dxa" w:w="1728"/>
          </w:tcPr>
          <w:p>
            <w:r>
              <w:rPr>
                <w:rFonts w:ascii="Times New Roman" w:hAnsi="Times New Roman"/>
                <w:sz w:val="20"/>
              </w:rPr>
              <w:t>[-0.039, 0.016]</w:t>
            </w:r>
          </w:p>
        </w:tc>
      </w:tr>
      <w:tr>
        <w:tc>
          <w:tcPr>
            <w:tcW w:type="dxa" w:w="1728"/>
          </w:tcPr>
          <w:p>
            <w:r>
              <w:rPr>
                <w:rFonts w:ascii="Times New Roman" w:hAnsi="Times New Roman"/>
                <w:sz w:val="20"/>
              </w:rPr>
              <w:t>FASt×credit dose → DevAdj (cz)</w:t>
            </w:r>
          </w:p>
        </w:tc>
        <w:tc>
          <w:tcPr>
            <w:tcW w:type="dxa" w:w="1728"/>
          </w:tcPr>
          <w:p>
            <w:r>
              <w:rPr>
                <w:rFonts w:ascii="Times New Roman" w:hAnsi="Times New Roman"/>
                <w:sz w:val="20"/>
              </w:rPr>
              <w:t>0.005</w:t>
            </w:r>
          </w:p>
        </w:tc>
        <w:tc>
          <w:tcPr>
            <w:tcW w:type="dxa" w:w="1728"/>
          </w:tcPr>
          <w:p>
            <w:r>
              <w:rPr>
                <w:rFonts w:ascii="Times New Roman" w:hAnsi="Times New Roman"/>
                <w:sz w:val="20"/>
              </w:rPr>
              <w:t>0.005</w:t>
            </w:r>
          </w:p>
        </w:tc>
        <w:tc>
          <w:tcPr>
            <w:tcW w:type="dxa" w:w="1728"/>
          </w:tcPr>
          <w:p>
            <w:r>
              <w:rPr>
                <w:rFonts w:ascii="Times New Roman" w:hAnsi="Times New Roman"/>
                <w:sz w:val="20"/>
              </w:rPr>
              <w:t>= .272</w:t>
            </w:r>
          </w:p>
        </w:tc>
        <w:tc>
          <w:tcPr>
            <w:tcW w:type="dxa" w:w="1728"/>
          </w:tcPr>
          <w:p>
            <w:r>
              <w:rPr>
                <w:rFonts w:ascii="Times New Roman" w:hAnsi="Times New Roman"/>
                <w:sz w:val="20"/>
              </w:rPr>
              <w:t>[-0.004, 0.015]</w:t>
            </w:r>
          </w:p>
        </w:tc>
      </w:tr>
    </w:tbl>
    <w:p>
      <w:pPr>
        <w:pStyle w:val="Heading2"/>
      </w:pPr>
      <w:r>
        <w:t>7. Indirect, direct, and total effects</w:t>
      </w:r>
    </w:p>
    <w:p>
      <w:pPr>
        <w:spacing w:after="120"/>
      </w:pPr>
      <w:r>
        <w:t>Table 2 summarizes the conditional indirect effects, conditional total effects, and indices of moderated mediation from the parallel model.</w:t>
      </w:r>
    </w:p>
    <w:p>
      <w:pPr>
        <w:spacing w:after="120"/>
      </w:pPr>
      <w:r>
        <w:rPr>
          <w:b/>
        </w:rPr>
        <w:t>Table 2. Conditional effects and indices (parallel model)</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20"/>
              </w:rPr>
              <w:t>Parameter</w:t>
            </w:r>
          </w:p>
        </w:tc>
        <w:tc>
          <w:tcPr>
            <w:tcW w:type="dxa" w:w="1728"/>
          </w:tcPr>
          <w:p>
            <w:r>
              <w:rPr>
                <w:rFonts w:ascii="Times New Roman" w:hAnsi="Times New Roman"/>
                <w:sz w:val="20"/>
              </w:rPr>
              <w:t>Estimate</w:t>
            </w:r>
          </w:p>
        </w:tc>
        <w:tc>
          <w:tcPr>
            <w:tcW w:type="dxa" w:w="1728"/>
          </w:tcPr>
          <w:p>
            <w:r>
              <w:rPr>
                <w:rFonts w:ascii="Times New Roman" w:hAnsi="Times New Roman"/>
                <w:sz w:val="20"/>
              </w:rPr>
              <w:t>SE</w:t>
            </w:r>
          </w:p>
        </w:tc>
        <w:tc>
          <w:tcPr>
            <w:tcW w:type="dxa" w:w="1728"/>
          </w:tcPr>
          <w:p>
            <w:r>
              <w:rPr>
                <w:rFonts w:ascii="Times New Roman" w:hAnsi="Times New Roman"/>
                <w:sz w:val="20"/>
              </w:rPr>
              <w:t>p</w:t>
            </w:r>
          </w:p>
        </w:tc>
        <w:tc>
          <w:tcPr>
            <w:tcW w:type="dxa" w:w="1728"/>
          </w:tcPr>
          <w:p>
            <w:r>
              <w:rPr>
                <w:rFonts w:ascii="Times New Roman" w:hAnsi="Times New Roman"/>
                <w:sz w:val="20"/>
              </w:rPr>
              <w:t>95% CI</w:t>
            </w:r>
          </w:p>
        </w:tc>
      </w:tr>
      <w:tr>
        <w:tc>
          <w:tcPr>
            <w:tcW w:type="dxa" w:w="1728"/>
          </w:tcPr>
          <w:p>
            <w:r>
              <w:rPr>
                <w:rFonts w:ascii="Times New Roman" w:hAnsi="Times New Roman"/>
                <w:sz w:val="20"/>
              </w:rPr>
              <w:t>Indirect via EmoDiss (low credit dose)</w:t>
            </w:r>
          </w:p>
        </w:tc>
        <w:tc>
          <w:tcPr>
            <w:tcW w:type="dxa" w:w="1728"/>
          </w:tcPr>
          <w:p>
            <w:r>
              <w:rPr>
                <w:rFonts w:ascii="Times New Roman" w:hAnsi="Times New Roman"/>
                <w:sz w:val="20"/>
              </w:rPr>
              <w:t>-0.031</w:t>
            </w:r>
          </w:p>
        </w:tc>
        <w:tc>
          <w:tcPr>
            <w:tcW w:type="dxa" w:w="1728"/>
          </w:tcPr>
          <w:p>
            <w:r>
              <w:rPr>
                <w:rFonts w:ascii="Times New Roman" w:hAnsi="Times New Roman"/>
                <w:sz w:val="20"/>
              </w:rPr>
              <w:t>0.012</w:t>
            </w:r>
          </w:p>
        </w:tc>
        <w:tc>
          <w:tcPr>
            <w:tcW w:type="dxa" w:w="1728"/>
          </w:tcPr>
          <w:p>
            <w:r>
              <w:rPr>
                <w:rFonts w:ascii="Times New Roman" w:hAnsi="Times New Roman"/>
                <w:sz w:val="20"/>
              </w:rPr>
              <w:t>= .009</w:t>
            </w:r>
          </w:p>
        </w:tc>
        <w:tc>
          <w:tcPr>
            <w:tcW w:type="dxa" w:w="1728"/>
          </w:tcPr>
          <w:p>
            <w:r>
              <w:rPr>
                <w:rFonts w:ascii="Times New Roman" w:hAnsi="Times New Roman"/>
                <w:sz w:val="20"/>
              </w:rPr>
              <w:t>[-0.054, -0.007]</w:t>
            </w:r>
          </w:p>
        </w:tc>
      </w:tr>
      <w:tr>
        <w:tc>
          <w:tcPr>
            <w:tcW w:type="dxa" w:w="1728"/>
          </w:tcPr>
          <w:p>
            <w:r>
              <w:rPr>
                <w:rFonts w:ascii="Times New Roman" w:hAnsi="Times New Roman"/>
                <w:sz w:val="20"/>
              </w:rPr>
              <w:t>Indirect via EmoDiss (average credit dose)</w:t>
            </w:r>
          </w:p>
        </w:tc>
        <w:tc>
          <w:tcPr>
            <w:tcW w:type="dxa" w:w="1728"/>
          </w:tcPr>
          <w:p>
            <w:r>
              <w:rPr>
                <w:rFonts w:ascii="Times New Roman" w:hAnsi="Times New Roman"/>
                <w:sz w:val="20"/>
              </w:rPr>
              <w:t>-0.033</w:t>
            </w:r>
          </w:p>
        </w:tc>
        <w:tc>
          <w:tcPr>
            <w:tcW w:type="dxa" w:w="1728"/>
          </w:tcPr>
          <w:p>
            <w:r>
              <w:rPr>
                <w:rFonts w:ascii="Times New Roman" w:hAnsi="Times New Roman"/>
                <w:sz w:val="20"/>
              </w:rPr>
              <w:t>0.008</w:t>
            </w:r>
          </w:p>
        </w:tc>
        <w:tc>
          <w:tcPr>
            <w:tcW w:type="dxa" w:w="1728"/>
          </w:tcPr>
          <w:p>
            <w:r>
              <w:rPr>
                <w:rFonts w:ascii="Times New Roman" w:hAnsi="Times New Roman"/>
                <w:sz w:val="20"/>
              </w:rPr>
              <w:t>&lt; .001</w:t>
            </w:r>
          </w:p>
        </w:tc>
        <w:tc>
          <w:tcPr>
            <w:tcW w:type="dxa" w:w="1728"/>
          </w:tcPr>
          <w:p>
            <w:r>
              <w:rPr>
                <w:rFonts w:ascii="Times New Roman" w:hAnsi="Times New Roman"/>
                <w:sz w:val="20"/>
              </w:rPr>
              <w:t>[-0.048, -0.017]</w:t>
            </w:r>
          </w:p>
        </w:tc>
      </w:tr>
      <w:tr>
        <w:tc>
          <w:tcPr>
            <w:tcW w:type="dxa" w:w="1728"/>
          </w:tcPr>
          <w:p>
            <w:r>
              <w:rPr>
                <w:rFonts w:ascii="Times New Roman" w:hAnsi="Times New Roman"/>
                <w:sz w:val="20"/>
              </w:rPr>
              <w:t>Indirect via EmoDiss (high credit dose)</w:t>
            </w:r>
          </w:p>
        </w:tc>
        <w:tc>
          <w:tcPr>
            <w:tcW w:type="dxa" w:w="1728"/>
          </w:tcPr>
          <w:p>
            <w:r>
              <w:rPr>
                <w:rFonts w:ascii="Times New Roman" w:hAnsi="Times New Roman"/>
                <w:sz w:val="20"/>
              </w:rPr>
              <w:t>-0.034</w:t>
            </w:r>
          </w:p>
        </w:tc>
        <w:tc>
          <w:tcPr>
            <w:tcW w:type="dxa" w:w="1728"/>
          </w:tcPr>
          <w:p>
            <w:r>
              <w:rPr>
                <w:rFonts w:ascii="Times New Roman" w:hAnsi="Times New Roman"/>
                <w:sz w:val="20"/>
              </w:rPr>
              <w:t>0.007</w:t>
            </w:r>
          </w:p>
        </w:tc>
        <w:tc>
          <w:tcPr>
            <w:tcW w:type="dxa" w:w="1728"/>
          </w:tcPr>
          <w:p>
            <w:r>
              <w:rPr>
                <w:rFonts w:ascii="Times New Roman" w:hAnsi="Times New Roman"/>
                <w:sz w:val="20"/>
              </w:rPr>
              <w:t>&lt; .001</w:t>
            </w:r>
          </w:p>
        </w:tc>
        <w:tc>
          <w:tcPr>
            <w:tcW w:type="dxa" w:w="1728"/>
          </w:tcPr>
          <w:p>
            <w:r>
              <w:rPr>
                <w:rFonts w:ascii="Times New Roman" w:hAnsi="Times New Roman"/>
                <w:sz w:val="20"/>
              </w:rPr>
              <w:t>[-0.047, -0.021]</w:t>
            </w:r>
          </w:p>
        </w:tc>
      </w:tr>
      <w:tr>
        <w:tc>
          <w:tcPr>
            <w:tcW w:type="dxa" w:w="1728"/>
          </w:tcPr>
          <w:p>
            <w:r>
              <w:rPr>
                <w:rFonts w:ascii="Times New Roman" w:hAnsi="Times New Roman"/>
                <w:sz w:val="20"/>
              </w:rPr>
              <w:t>Indirect via QualEngag (low credit dose)</w:t>
            </w:r>
          </w:p>
        </w:tc>
        <w:tc>
          <w:tcPr>
            <w:tcW w:type="dxa" w:w="1728"/>
          </w:tcPr>
          <w:p>
            <w:r>
              <w:rPr>
                <w:rFonts w:ascii="Times New Roman" w:hAnsi="Times New Roman"/>
                <w:sz w:val="20"/>
              </w:rPr>
              <w:t>0.005</w:t>
            </w:r>
          </w:p>
        </w:tc>
        <w:tc>
          <w:tcPr>
            <w:tcW w:type="dxa" w:w="1728"/>
          </w:tcPr>
          <w:p>
            <w:r>
              <w:rPr>
                <w:rFonts w:ascii="Times New Roman" w:hAnsi="Times New Roman"/>
                <w:sz w:val="20"/>
              </w:rPr>
              <w:t>0.008</w:t>
            </w:r>
          </w:p>
        </w:tc>
        <w:tc>
          <w:tcPr>
            <w:tcW w:type="dxa" w:w="1728"/>
          </w:tcPr>
          <w:p>
            <w:r>
              <w:rPr>
                <w:rFonts w:ascii="Times New Roman" w:hAnsi="Times New Roman"/>
                <w:sz w:val="20"/>
              </w:rPr>
              <w:t>= .515</w:t>
            </w:r>
          </w:p>
        </w:tc>
        <w:tc>
          <w:tcPr>
            <w:tcW w:type="dxa" w:w="1728"/>
          </w:tcPr>
          <w:p>
            <w:r>
              <w:rPr>
                <w:rFonts w:ascii="Times New Roman" w:hAnsi="Times New Roman"/>
                <w:sz w:val="20"/>
              </w:rPr>
              <w:t>[-0.010, 0.020]</w:t>
            </w:r>
          </w:p>
        </w:tc>
      </w:tr>
      <w:tr>
        <w:tc>
          <w:tcPr>
            <w:tcW w:type="dxa" w:w="1728"/>
          </w:tcPr>
          <w:p>
            <w:r>
              <w:rPr>
                <w:rFonts w:ascii="Times New Roman" w:hAnsi="Times New Roman"/>
                <w:sz w:val="20"/>
              </w:rPr>
              <w:t>Indirect via QualEngag (average credit dose)</w:t>
            </w:r>
          </w:p>
        </w:tc>
        <w:tc>
          <w:tcPr>
            <w:tcW w:type="dxa" w:w="1728"/>
          </w:tcPr>
          <w:p>
            <w:r>
              <w:rPr>
                <w:rFonts w:ascii="Times New Roman" w:hAnsi="Times New Roman"/>
                <w:sz w:val="20"/>
              </w:rPr>
              <w:t>0.001</w:t>
            </w:r>
          </w:p>
        </w:tc>
        <w:tc>
          <w:tcPr>
            <w:tcW w:type="dxa" w:w="1728"/>
          </w:tcPr>
          <w:p>
            <w:r>
              <w:rPr>
                <w:rFonts w:ascii="Times New Roman" w:hAnsi="Times New Roman"/>
                <w:sz w:val="20"/>
              </w:rPr>
              <w:t>0.005</w:t>
            </w:r>
          </w:p>
        </w:tc>
        <w:tc>
          <w:tcPr>
            <w:tcW w:type="dxa" w:w="1728"/>
          </w:tcPr>
          <w:p>
            <w:r>
              <w:rPr>
                <w:rFonts w:ascii="Times New Roman" w:hAnsi="Times New Roman"/>
                <w:sz w:val="20"/>
              </w:rPr>
              <w:t>= .875</w:t>
            </w:r>
          </w:p>
        </w:tc>
        <w:tc>
          <w:tcPr>
            <w:tcW w:type="dxa" w:w="1728"/>
          </w:tcPr>
          <w:p>
            <w:r>
              <w:rPr>
                <w:rFonts w:ascii="Times New Roman" w:hAnsi="Times New Roman"/>
                <w:sz w:val="20"/>
              </w:rPr>
              <w:t>[-0.009, 0.011]</w:t>
            </w:r>
          </w:p>
        </w:tc>
      </w:tr>
      <w:tr>
        <w:tc>
          <w:tcPr>
            <w:tcW w:type="dxa" w:w="1728"/>
          </w:tcPr>
          <w:p>
            <w:r>
              <w:rPr>
                <w:rFonts w:ascii="Times New Roman" w:hAnsi="Times New Roman"/>
                <w:sz w:val="20"/>
              </w:rPr>
              <w:t>Indirect via QualEngag (high credit dose)</w:t>
            </w:r>
          </w:p>
        </w:tc>
        <w:tc>
          <w:tcPr>
            <w:tcW w:type="dxa" w:w="1728"/>
          </w:tcPr>
          <w:p>
            <w:r>
              <w:rPr>
                <w:rFonts w:ascii="Times New Roman" w:hAnsi="Times New Roman"/>
                <w:sz w:val="20"/>
              </w:rPr>
              <w:t>-0.003</w:t>
            </w:r>
          </w:p>
        </w:tc>
        <w:tc>
          <w:tcPr>
            <w:tcW w:type="dxa" w:w="1728"/>
          </w:tcPr>
          <w:p>
            <w:r>
              <w:rPr>
                <w:rFonts w:ascii="Times New Roman" w:hAnsi="Times New Roman"/>
                <w:sz w:val="20"/>
              </w:rPr>
              <w:t>0.004</w:t>
            </w:r>
          </w:p>
        </w:tc>
        <w:tc>
          <w:tcPr>
            <w:tcW w:type="dxa" w:w="1728"/>
          </w:tcPr>
          <w:p>
            <w:r>
              <w:rPr>
                <w:rFonts w:ascii="Times New Roman" w:hAnsi="Times New Roman"/>
                <w:sz w:val="20"/>
              </w:rPr>
              <w:t>= .408</w:t>
            </w:r>
          </w:p>
        </w:tc>
        <w:tc>
          <w:tcPr>
            <w:tcW w:type="dxa" w:w="1728"/>
          </w:tcPr>
          <w:p>
            <w:r>
              <w:rPr>
                <w:rFonts w:ascii="Times New Roman" w:hAnsi="Times New Roman"/>
                <w:sz w:val="20"/>
              </w:rPr>
              <w:t>[-0.012, 0.005]</w:t>
            </w:r>
          </w:p>
        </w:tc>
      </w:tr>
      <w:tr>
        <w:tc>
          <w:tcPr>
            <w:tcW w:type="dxa" w:w="1728"/>
          </w:tcPr>
          <w:p>
            <w:r>
              <w:rPr>
                <w:rFonts w:ascii="Times New Roman" w:hAnsi="Times New Roman"/>
                <w:sz w:val="20"/>
              </w:rPr>
              <w:t>Total effect (low credit dose)</w:t>
            </w:r>
          </w:p>
        </w:tc>
        <w:tc>
          <w:tcPr>
            <w:tcW w:type="dxa" w:w="1728"/>
          </w:tcPr>
          <w:p>
            <w:r>
              <w:rPr>
                <w:rFonts w:ascii="Times New Roman" w:hAnsi="Times New Roman"/>
                <w:sz w:val="20"/>
              </w:rPr>
              <w:t>-0.047</w:t>
            </w:r>
          </w:p>
        </w:tc>
        <w:tc>
          <w:tcPr>
            <w:tcW w:type="dxa" w:w="1728"/>
          </w:tcPr>
          <w:p>
            <w:r>
              <w:rPr>
                <w:rFonts w:ascii="Times New Roman" w:hAnsi="Times New Roman"/>
                <w:sz w:val="20"/>
              </w:rPr>
              <w:t>0.025</w:t>
            </w:r>
          </w:p>
        </w:tc>
        <w:tc>
          <w:tcPr>
            <w:tcW w:type="dxa" w:w="1728"/>
          </w:tcPr>
          <w:p>
            <w:r>
              <w:rPr>
                <w:rFonts w:ascii="Times New Roman" w:hAnsi="Times New Roman"/>
                <w:sz w:val="20"/>
              </w:rPr>
              <w:t>= .064</w:t>
            </w:r>
          </w:p>
        </w:tc>
        <w:tc>
          <w:tcPr>
            <w:tcW w:type="dxa" w:w="1728"/>
          </w:tcPr>
          <w:p>
            <w:r>
              <w:rPr>
                <w:rFonts w:ascii="Times New Roman" w:hAnsi="Times New Roman"/>
                <w:sz w:val="20"/>
              </w:rPr>
              <w:t>[-0.096, 0.003]</w:t>
            </w:r>
          </w:p>
        </w:tc>
      </w:tr>
      <w:tr>
        <w:tc>
          <w:tcPr>
            <w:tcW w:type="dxa" w:w="1728"/>
          </w:tcPr>
          <w:p>
            <w:r>
              <w:rPr>
                <w:rFonts w:ascii="Times New Roman" w:hAnsi="Times New Roman"/>
                <w:sz w:val="20"/>
              </w:rPr>
              <w:t>Total effect (average credit dose)</w:t>
            </w:r>
          </w:p>
        </w:tc>
        <w:tc>
          <w:tcPr>
            <w:tcW w:type="dxa" w:w="1728"/>
          </w:tcPr>
          <w:p>
            <w:r>
              <w:rPr>
                <w:rFonts w:ascii="Times New Roman" w:hAnsi="Times New Roman"/>
                <w:sz w:val="20"/>
              </w:rPr>
              <w:t>-0.043</w:t>
            </w:r>
          </w:p>
        </w:tc>
        <w:tc>
          <w:tcPr>
            <w:tcW w:type="dxa" w:w="1728"/>
          </w:tcPr>
          <w:p>
            <w:r>
              <w:rPr>
                <w:rFonts w:ascii="Times New Roman" w:hAnsi="Times New Roman"/>
                <w:sz w:val="20"/>
              </w:rPr>
              <w:t>0.017</w:t>
            </w:r>
          </w:p>
        </w:tc>
        <w:tc>
          <w:tcPr>
            <w:tcW w:type="dxa" w:w="1728"/>
          </w:tcPr>
          <w:p>
            <w:r>
              <w:rPr>
                <w:rFonts w:ascii="Times New Roman" w:hAnsi="Times New Roman"/>
                <w:sz w:val="20"/>
              </w:rPr>
              <w:t>= .011</w:t>
            </w:r>
          </w:p>
        </w:tc>
        <w:tc>
          <w:tcPr>
            <w:tcW w:type="dxa" w:w="1728"/>
          </w:tcPr>
          <w:p>
            <w:r>
              <w:rPr>
                <w:rFonts w:ascii="Times New Roman" w:hAnsi="Times New Roman"/>
                <w:sz w:val="20"/>
              </w:rPr>
              <w:t>[-0.076, -0.010]</w:t>
            </w:r>
          </w:p>
        </w:tc>
      </w:tr>
      <w:tr>
        <w:tc>
          <w:tcPr>
            <w:tcW w:type="dxa" w:w="1728"/>
          </w:tcPr>
          <w:p>
            <w:r>
              <w:rPr>
                <w:rFonts w:ascii="Times New Roman" w:hAnsi="Times New Roman"/>
                <w:sz w:val="20"/>
              </w:rPr>
              <w:t>Total effect (high credit dose)</w:t>
            </w:r>
          </w:p>
        </w:tc>
        <w:tc>
          <w:tcPr>
            <w:tcW w:type="dxa" w:w="1728"/>
          </w:tcPr>
          <w:p>
            <w:r>
              <w:rPr>
                <w:rFonts w:ascii="Times New Roman" w:hAnsi="Times New Roman"/>
                <w:sz w:val="20"/>
              </w:rPr>
              <w:t>-0.039</w:t>
            </w:r>
          </w:p>
        </w:tc>
        <w:tc>
          <w:tcPr>
            <w:tcW w:type="dxa" w:w="1728"/>
          </w:tcPr>
          <w:p>
            <w:r>
              <w:rPr>
                <w:rFonts w:ascii="Times New Roman" w:hAnsi="Times New Roman"/>
                <w:sz w:val="20"/>
              </w:rPr>
              <w:t>0.014</w:t>
            </w:r>
          </w:p>
        </w:tc>
        <w:tc>
          <w:tcPr>
            <w:tcW w:type="dxa" w:w="1728"/>
          </w:tcPr>
          <w:p>
            <w:r>
              <w:rPr>
                <w:rFonts w:ascii="Times New Roman" w:hAnsi="Times New Roman"/>
                <w:sz w:val="20"/>
              </w:rPr>
              <w:t>= .005</w:t>
            </w:r>
          </w:p>
        </w:tc>
        <w:tc>
          <w:tcPr>
            <w:tcW w:type="dxa" w:w="1728"/>
          </w:tcPr>
          <w:p>
            <w:r>
              <w:rPr>
                <w:rFonts w:ascii="Times New Roman" w:hAnsi="Times New Roman"/>
                <w:sz w:val="20"/>
              </w:rPr>
              <w:t>[-0.067, -0.012]</w:t>
            </w:r>
          </w:p>
        </w:tc>
      </w:tr>
      <w:tr>
        <w:tc>
          <w:tcPr>
            <w:tcW w:type="dxa" w:w="1728"/>
          </w:tcPr>
          <w:p>
            <w:r>
              <w:rPr>
                <w:rFonts w:ascii="Times New Roman" w:hAnsi="Times New Roman"/>
                <w:sz w:val="20"/>
              </w:rPr>
              <w:t>Index of moderated mediation (EmoDiss)</w:t>
            </w:r>
          </w:p>
        </w:tc>
        <w:tc>
          <w:tcPr>
            <w:tcW w:type="dxa" w:w="1728"/>
          </w:tcPr>
          <w:p>
            <w:r>
              <w:rPr>
                <w:rFonts w:ascii="Times New Roman" w:hAnsi="Times New Roman"/>
                <w:sz w:val="20"/>
              </w:rPr>
              <w:t>-0.001</w:t>
            </w:r>
          </w:p>
        </w:tc>
        <w:tc>
          <w:tcPr>
            <w:tcW w:type="dxa" w:w="1728"/>
          </w:tcPr>
          <w:p>
            <w:r>
              <w:rPr>
                <w:rFonts w:ascii="Times New Roman" w:hAnsi="Times New Roman"/>
                <w:sz w:val="20"/>
              </w:rPr>
              <w:t>0.003</w:t>
            </w:r>
          </w:p>
        </w:tc>
        <w:tc>
          <w:tcPr>
            <w:tcW w:type="dxa" w:w="1728"/>
          </w:tcPr>
          <w:p>
            <w:r>
              <w:rPr>
                <w:rFonts w:ascii="Times New Roman" w:hAnsi="Times New Roman"/>
                <w:sz w:val="20"/>
              </w:rPr>
              <w:t>= .714</w:t>
            </w:r>
          </w:p>
        </w:tc>
        <w:tc>
          <w:tcPr>
            <w:tcW w:type="dxa" w:w="1728"/>
          </w:tcPr>
          <w:p>
            <w:r>
              <w:rPr>
                <w:rFonts w:ascii="Times New Roman" w:hAnsi="Times New Roman"/>
                <w:sz w:val="20"/>
              </w:rPr>
              <w:t>[-0.007, 0.005]</w:t>
            </w:r>
          </w:p>
        </w:tc>
      </w:tr>
      <w:tr>
        <w:tc>
          <w:tcPr>
            <w:tcW w:type="dxa" w:w="1728"/>
          </w:tcPr>
          <w:p>
            <w:r>
              <w:rPr>
                <w:rFonts w:ascii="Times New Roman" w:hAnsi="Times New Roman"/>
                <w:sz w:val="20"/>
              </w:rPr>
              <w:t>Index of moderated mediation (QualEngag)</w:t>
            </w:r>
          </w:p>
        </w:tc>
        <w:tc>
          <w:tcPr>
            <w:tcW w:type="dxa" w:w="1728"/>
          </w:tcPr>
          <w:p>
            <w:r>
              <w:rPr>
                <w:rFonts w:ascii="Times New Roman" w:hAnsi="Times New Roman"/>
                <w:sz w:val="20"/>
              </w:rPr>
              <w:t>-0.002</w:t>
            </w:r>
          </w:p>
        </w:tc>
        <w:tc>
          <w:tcPr>
            <w:tcW w:type="dxa" w:w="1728"/>
          </w:tcPr>
          <w:p>
            <w:r>
              <w:rPr>
                <w:rFonts w:ascii="Times New Roman" w:hAnsi="Times New Roman"/>
                <w:sz w:val="20"/>
              </w:rPr>
              <w:t>0.002</w:t>
            </w:r>
          </w:p>
        </w:tc>
        <w:tc>
          <w:tcPr>
            <w:tcW w:type="dxa" w:w="1728"/>
          </w:tcPr>
          <w:p>
            <w:r>
              <w:rPr>
                <w:rFonts w:ascii="Times New Roman" w:hAnsi="Times New Roman"/>
                <w:sz w:val="20"/>
              </w:rPr>
              <w:t>= .232</w:t>
            </w:r>
          </w:p>
        </w:tc>
        <w:tc>
          <w:tcPr>
            <w:tcW w:type="dxa" w:w="1728"/>
          </w:tcPr>
          <w:p>
            <w:r>
              <w:rPr>
                <w:rFonts w:ascii="Times New Roman" w:hAnsi="Times New Roman"/>
                <w:sz w:val="20"/>
              </w:rPr>
              <w:t>[-0.006, 0.001]</w:t>
            </w:r>
          </w:p>
        </w:tc>
      </w:tr>
    </w:tbl>
    <w:p>
      <w:pPr>
        <w:pStyle w:val="Heading2"/>
      </w:pPr>
      <w:r>
        <w:t>8. Total effect model result</w:t>
      </w:r>
    </w:p>
    <w:p>
      <w:pPr>
        <w:spacing w:after="120"/>
      </w:pPr>
      <w:r>
        <w:t>The total effect model estimates the overall association of FASt status with developmental adjustment without mediators or credit-dose moderation.</w:t>
      </w:r>
    </w:p>
    <w:p>
      <w:pPr>
        <w:spacing w:after="120"/>
      </w:pPr>
      <w:r>
        <w:rPr>
          <w:b/>
        </w:rPr>
        <w:t>Table 3. Total effect (A0_total_effect)</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20"/>
              </w:rPr>
              <w:t>Parameter</w:t>
            </w:r>
          </w:p>
        </w:tc>
        <w:tc>
          <w:tcPr>
            <w:tcW w:type="dxa" w:w="1728"/>
          </w:tcPr>
          <w:p>
            <w:r>
              <w:rPr>
                <w:rFonts w:ascii="Times New Roman" w:hAnsi="Times New Roman"/>
                <w:sz w:val="20"/>
              </w:rPr>
              <w:t>Estimate</w:t>
            </w:r>
          </w:p>
        </w:tc>
        <w:tc>
          <w:tcPr>
            <w:tcW w:type="dxa" w:w="1728"/>
          </w:tcPr>
          <w:p>
            <w:r>
              <w:rPr>
                <w:rFonts w:ascii="Times New Roman" w:hAnsi="Times New Roman"/>
                <w:sz w:val="20"/>
              </w:rPr>
              <w:t>SE</w:t>
            </w:r>
          </w:p>
        </w:tc>
        <w:tc>
          <w:tcPr>
            <w:tcW w:type="dxa" w:w="1728"/>
          </w:tcPr>
          <w:p>
            <w:r>
              <w:rPr>
                <w:rFonts w:ascii="Times New Roman" w:hAnsi="Times New Roman"/>
                <w:sz w:val="20"/>
              </w:rPr>
              <w:t>p</w:t>
            </w:r>
          </w:p>
        </w:tc>
        <w:tc>
          <w:tcPr>
            <w:tcW w:type="dxa" w:w="1728"/>
          </w:tcPr>
          <w:p>
            <w:r>
              <w:rPr>
                <w:rFonts w:ascii="Times New Roman" w:hAnsi="Times New Roman"/>
                <w:sz w:val="20"/>
              </w:rPr>
              <w:t>95% CI</w:t>
            </w:r>
          </w:p>
        </w:tc>
      </w:tr>
      <w:tr>
        <w:tc>
          <w:tcPr>
            <w:tcW w:type="dxa" w:w="1728"/>
          </w:tcPr>
          <w:p>
            <w:r>
              <w:rPr>
                <w:rFonts w:ascii="Times New Roman" w:hAnsi="Times New Roman"/>
                <w:sz w:val="20"/>
              </w:rPr>
              <w:t>Total effect: FASt → DevAdj (c_total)</w:t>
            </w:r>
          </w:p>
        </w:tc>
        <w:tc>
          <w:tcPr>
            <w:tcW w:type="dxa" w:w="1728"/>
          </w:tcPr>
          <w:p>
            <w:r>
              <w:rPr>
                <w:rFonts w:ascii="Times New Roman" w:hAnsi="Times New Roman"/>
                <w:sz w:val="20"/>
              </w:rPr>
              <w:t>-0.026</w:t>
            </w:r>
          </w:p>
        </w:tc>
        <w:tc>
          <w:tcPr>
            <w:tcW w:type="dxa" w:w="1728"/>
          </w:tcPr>
          <w:p>
            <w:r>
              <w:rPr>
                <w:rFonts w:ascii="Times New Roman" w:hAnsi="Times New Roman"/>
                <w:sz w:val="20"/>
              </w:rPr>
              <w:t>0.015</w:t>
            </w:r>
          </w:p>
        </w:tc>
        <w:tc>
          <w:tcPr>
            <w:tcW w:type="dxa" w:w="1728"/>
          </w:tcPr>
          <w:p>
            <w:r>
              <w:rPr>
                <w:rFonts w:ascii="Times New Roman" w:hAnsi="Times New Roman"/>
                <w:sz w:val="20"/>
              </w:rPr>
              <w:t>= .079</w:t>
            </w:r>
          </w:p>
        </w:tc>
        <w:tc>
          <w:tcPr>
            <w:tcW w:type="dxa" w:w="1728"/>
          </w:tcPr>
          <w:p>
            <w:r>
              <w:rPr>
                <w:rFonts w:ascii="Times New Roman" w:hAnsi="Times New Roman"/>
                <w:sz w:val="20"/>
              </w:rPr>
              <w:t>[-0.054, 0.003]</w:t>
            </w:r>
          </w:p>
        </w:tc>
      </w:tr>
    </w:tbl>
    <w:p>
      <w:pPr>
        <w:pStyle w:val="Heading2"/>
      </w:pPr>
      <w:r>
        <w:t>9. Exploratory serial pathway</w:t>
      </w:r>
    </w:p>
    <w:p>
      <w:pPr>
        <w:spacing w:after="120"/>
      </w:pPr>
      <w:r>
        <w:t>The serial exploratory model adds a path from emotional distress to quality of engagement (EmoDiss → QualEngag) and estimates a serial indirect effect from FASt to DevAdj through EmoDiss and then QualEngag.</w:t>
      </w:r>
    </w:p>
    <w:p>
      <w:pPr>
        <w:spacing w:after="120"/>
      </w:pPr>
      <w:r>
        <w:rPr>
          <w:b/>
        </w:rPr>
        <w:t>Table 4. Serial pathway effects (A1_serial_exploratory)</w:t>
      </w:r>
    </w:p>
    <w:tbl>
      <w:tblPr>
        <w:tblW w:type="auto" w:w="0"/>
        <w:jc w:val="left"/>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20"/>
              </w:rPr>
              <w:t>Parameter</w:t>
            </w:r>
          </w:p>
        </w:tc>
        <w:tc>
          <w:tcPr>
            <w:tcW w:type="dxa" w:w="1728"/>
          </w:tcPr>
          <w:p>
            <w:r>
              <w:rPr>
                <w:rFonts w:ascii="Times New Roman" w:hAnsi="Times New Roman"/>
                <w:sz w:val="20"/>
              </w:rPr>
              <w:t>Estimate</w:t>
            </w:r>
          </w:p>
        </w:tc>
        <w:tc>
          <w:tcPr>
            <w:tcW w:type="dxa" w:w="1728"/>
          </w:tcPr>
          <w:p>
            <w:r>
              <w:rPr>
                <w:rFonts w:ascii="Times New Roman" w:hAnsi="Times New Roman"/>
                <w:sz w:val="20"/>
              </w:rPr>
              <w:t>SE</w:t>
            </w:r>
          </w:p>
        </w:tc>
        <w:tc>
          <w:tcPr>
            <w:tcW w:type="dxa" w:w="1728"/>
          </w:tcPr>
          <w:p>
            <w:r>
              <w:rPr>
                <w:rFonts w:ascii="Times New Roman" w:hAnsi="Times New Roman"/>
                <w:sz w:val="20"/>
              </w:rPr>
              <w:t>p</w:t>
            </w:r>
          </w:p>
        </w:tc>
        <w:tc>
          <w:tcPr>
            <w:tcW w:type="dxa" w:w="1728"/>
          </w:tcPr>
          <w:p>
            <w:r>
              <w:rPr>
                <w:rFonts w:ascii="Times New Roman" w:hAnsi="Times New Roman"/>
                <w:sz w:val="20"/>
              </w:rPr>
              <w:t>95% CI</w:t>
            </w:r>
          </w:p>
        </w:tc>
      </w:tr>
      <w:tr>
        <w:tc>
          <w:tcPr>
            <w:tcW w:type="dxa" w:w="1728"/>
          </w:tcPr>
          <w:p>
            <w:r>
              <w:rPr>
                <w:rFonts w:ascii="Times New Roman" w:hAnsi="Times New Roman"/>
                <w:sz w:val="20"/>
              </w:rPr>
              <w:t>EmoDiss → QualEngag (d)</w:t>
            </w:r>
          </w:p>
        </w:tc>
        <w:tc>
          <w:tcPr>
            <w:tcW w:type="dxa" w:w="1728"/>
          </w:tcPr>
          <w:p>
            <w:r>
              <w:rPr>
                <w:rFonts w:ascii="Times New Roman" w:hAnsi="Times New Roman"/>
                <w:sz w:val="20"/>
              </w:rPr>
              <w:t>-0.177</w:t>
            </w:r>
          </w:p>
        </w:tc>
        <w:tc>
          <w:tcPr>
            <w:tcW w:type="dxa" w:w="1728"/>
          </w:tcPr>
          <w:p>
            <w:r>
              <w:rPr>
                <w:rFonts w:ascii="Times New Roman" w:hAnsi="Times New Roman"/>
                <w:sz w:val="20"/>
              </w:rPr>
              <w:t>0.015</w:t>
            </w:r>
          </w:p>
        </w:tc>
        <w:tc>
          <w:tcPr>
            <w:tcW w:type="dxa" w:w="1728"/>
          </w:tcPr>
          <w:p>
            <w:r>
              <w:rPr>
                <w:rFonts w:ascii="Times New Roman" w:hAnsi="Times New Roman"/>
                <w:sz w:val="20"/>
              </w:rPr>
              <w:t>&lt; .001</w:t>
            </w:r>
          </w:p>
        </w:tc>
        <w:tc>
          <w:tcPr>
            <w:tcW w:type="dxa" w:w="1728"/>
          </w:tcPr>
          <w:p>
            <w:r>
              <w:rPr>
                <w:rFonts w:ascii="Times New Roman" w:hAnsi="Times New Roman"/>
                <w:sz w:val="20"/>
              </w:rPr>
              <w:t>[-0.206, -0.149]</w:t>
            </w:r>
          </w:p>
        </w:tc>
      </w:tr>
      <w:tr>
        <w:tc>
          <w:tcPr>
            <w:tcW w:type="dxa" w:w="1728"/>
          </w:tcPr>
          <w:p>
            <w:r>
              <w:rPr>
                <w:rFonts w:ascii="Times New Roman" w:hAnsi="Times New Roman"/>
                <w:sz w:val="20"/>
              </w:rPr>
              <w:t>Serial indirect (low credit dose)</w:t>
            </w:r>
          </w:p>
        </w:tc>
        <w:tc>
          <w:tcPr>
            <w:tcW w:type="dxa" w:w="1728"/>
          </w:tcPr>
          <w:p>
            <w:r>
              <w:rPr>
                <w:rFonts w:ascii="Times New Roman" w:hAnsi="Times New Roman"/>
                <w:sz w:val="20"/>
              </w:rPr>
              <w:t>-0.004</w:t>
            </w:r>
          </w:p>
        </w:tc>
        <w:tc>
          <w:tcPr>
            <w:tcW w:type="dxa" w:w="1728"/>
          </w:tcPr>
          <w:p>
            <w:r>
              <w:rPr>
                <w:rFonts w:ascii="Times New Roman" w:hAnsi="Times New Roman"/>
                <w:sz w:val="20"/>
              </w:rPr>
              <w:t>0.001</w:t>
            </w:r>
          </w:p>
        </w:tc>
        <w:tc>
          <w:tcPr>
            <w:tcW w:type="dxa" w:w="1728"/>
          </w:tcPr>
          <w:p>
            <w:r>
              <w:rPr>
                <w:rFonts w:ascii="Times New Roman" w:hAnsi="Times New Roman"/>
                <w:sz w:val="20"/>
              </w:rPr>
              <w:t>= .011</w:t>
            </w:r>
          </w:p>
        </w:tc>
        <w:tc>
          <w:tcPr>
            <w:tcW w:type="dxa" w:w="1728"/>
          </w:tcPr>
          <w:p>
            <w:r>
              <w:rPr>
                <w:rFonts w:ascii="Times New Roman" w:hAnsi="Times New Roman"/>
                <w:sz w:val="20"/>
              </w:rPr>
              <w:t>[-0.006, -0.001]</w:t>
            </w:r>
          </w:p>
        </w:tc>
      </w:tr>
      <w:tr>
        <w:tc>
          <w:tcPr>
            <w:tcW w:type="dxa" w:w="1728"/>
          </w:tcPr>
          <w:p>
            <w:r>
              <w:rPr>
                <w:rFonts w:ascii="Times New Roman" w:hAnsi="Times New Roman"/>
                <w:sz w:val="20"/>
              </w:rPr>
              <w:t>Serial indirect (average credit dose)</w:t>
            </w:r>
          </w:p>
        </w:tc>
        <w:tc>
          <w:tcPr>
            <w:tcW w:type="dxa" w:w="1728"/>
          </w:tcPr>
          <w:p>
            <w:r>
              <w:rPr>
                <w:rFonts w:ascii="Times New Roman" w:hAnsi="Times New Roman"/>
                <w:sz w:val="20"/>
              </w:rPr>
              <w:t>-0.004</w:t>
            </w:r>
          </w:p>
        </w:tc>
        <w:tc>
          <w:tcPr>
            <w:tcW w:type="dxa" w:w="1728"/>
          </w:tcPr>
          <w:p>
            <w:r>
              <w:rPr>
                <w:rFonts w:ascii="Times New Roman" w:hAnsi="Times New Roman"/>
                <w:sz w:val="20"/>
              </w:rPr>
              <w:t>0.001</w:t>
            </w:r>
          </w:p>
        </w:tc>
        <w:tc>
          <w:tcPr>
            <w:tcW w:type="dxa" w:w="1728"/>
          </w:tcPr>
          <w:p>
            <w:r>
              <w:rPr>
                <w:rFonts w:ascii="Times New Roman" w:hAnsi="Times New Roman"/>
                <w:sz w:val="20"/>
              </w:rPr>
              <w:t>&lt; .001</w:t>
            </w:r>
          </w:p>
        </w:tc>
        <w:tc>
          <w:tcPr>
            <w:tcW w:type="dxa" w:w="1728"/>
          </w:tcPr>
          <w:p>
            <w:r>
              <w:rPr>
                <w:rFonts w:ascii="Times New Roman" w:hAnsi="Times New Roman"/>
                <w:sz w:val="20"/>
              </w:rPr>
              <w:t>[-0.006, -0.002]</w:t>
            </w:r>
          </w:p>
        </w:tc>
      </w:tr>
      <w:tr>
        <w:tc>
          <w:tcPr>
            <w:tcW w:type="dxa" w:w="1728"/>
          </w:tcPr>
          <w:p>
            <w:r>
              <w:rPr>
                <w:rFonts w:ascii="Times New Roman" w:hAnsi="Times New Roman"/>
                <w:sz w:val="20"/>
              </w:rPr>
              <w:t>Serial indirect (high credit dose)</w:t>
            </w:r>
          </w:p>
        </w:tc>
        <w:tc>
          <w:tcPr>
            <w:tcW w:type="dxa" w:w="1728"/>
          </w:tcPr>
          <w:p>
            <w:r>
              <w:rPr>
                <w:rFonts w:ascii="Times New Roman" w:hAnsi="Times New Roman"/>
                <w:sz w:val="20"/>
              </w:rPr>
              <w:t>-0.004</w:t>
            </w:r>
          </w:p>
        </w:tc>
        <w:tc>
          <w:tcPr>
            <w:tcW w:type="dxa" w:w="1728"/>
          </w:tcPr>
          <w:p>
            <w:r>
              <w:rPr>
                <w:rFonts w:ascii="Times New Roman" w:hAnsi="Times New Roman"/>
                <w:sz w:val="20"/>
              </w:rPr>
              <w:t>0.001</w:t>
            </w:r>
          </w:p>
        </w:tc>
        <w:tc>
          <w:tcPr>
            <w:tcW w:type="dxa" w:w="1728"/>
          </w:tcPr>
          <w:p>
            <w:r>
              <w:rPr>
                <w:rFonts w:ascii="Times New Roman" w:hAnsi="Times New Roman"/>
                <w:sz w:val="20"/>
              </w:rPr>
              <w:t>&lt; .001</w:t>
            </w:r>
          </w:p>
        </w:tc>
        <w:tc>
          <w:tcPr>
            <w:tcW w:type="dxa" w:w="1728"/>
          </w:tcPr>
          <w:p>
            <w:r>
              <w:rPr>
                <w:rFonts w:ascii="Times New Roman" w:hAnsi="Times New Roman"/>
                <w:sz w:val="20"/>
              </w:rPr>
              <w:t>[-0.006, -0.002]</w:t>
            </w:r>
          </w:p>
        </w:tc>
      </w:tr>
      <w:tr>
        <w:tc>
          <w:tcPr>
            <w:tcW w:type="dxa" w:w="1728"/>
          </w:tcPr>
          <w:p>
            <w:r>
              <w:rPr>
                <w:rFonts w:ascii="Times New Roman" w:hAnsi="Times New Roman"/>
                <w:sz w:val="20"/>
              </w:rPr>
              <w:t>Index of moderated mediation (serial)</w:t>
            </w:r>
          </w:p>
        </w:tc>
        <w:tc>
          <w:tcPr>
            <w:tcW w:type="dxa" w:w="1728"/>
          </w:tcPr>
          <w:p>
            <w:r>
              <w:rPr>
                <w:rFonts w:ascii="Times New Roman" w:hAnsi="Times New Roman"/>
                <w:sz w:val="20"/>
              </w:rPr>
              <w:t>-0.000</w:t>
            </w:r>
          </w:p>
        </w:tc>
        <w:tc>
          <w:tcPr>
            <w:tcW w:type="dxa" w:w="1728"/>
          </w:tcPr>
          <w:p>
            <w:r>
              <w:rPr>
                <w:rFonts w:ascii="Times New Roman" w:hAnsi="Times New Roman"/>
                <w:sz w:val="20"/>
              </w:rPr>
              <w:t>0.000</w:t>
            </w:r>
          </w:p>
        </w:tc>
        <w:tc>
          <w:tcPr>
            <w:tcW w:type="dxa" w:w="1728"/>
          </w:tcPr>
          <w:p>
            <w:r>
              <w:rPr>
                <w:rFonts w:ascii="Times New Roman" w:hAnsi="Times New Roman"/>
                <w:sz w:val="20"/>
              </w:rPr>
              <w:t>= .714</w:t>
            </w:r>
          </w:p>
        </w:tc>
        <w:tc>
          <w:tcPr>
            <w:tcW w:type="dxa" w:w="1728"/>
          </w:tcPr>
          <w:p>
            <w:r>
              <w:rPr>
                <w:rFonts w:ascii="Times New Roman" w:hAnsi="Times New Roman"/>
                <w:sz w:val="20"/>
              </w:rPr>
              <w:t>[-0.001, 0.001]</w:t>
            </w:r>
          </w:p>
        </w:tc>
      </w:tr>
    </w:tbl>
    <w:p>
      <w:pPr>
        <w:pStyle w:val="Heading2"/>
      </w:pPr>
      <w:r>
        <w:t>10. Variance explained (R²)</w:t>
      </w:r>
    </w:p>
    <w:p>
      <w:pPr>
        <w:spacing w:after="120"/>
      </w:pPr>
      <w:r>
        <w:t>R² values below come from the parallel model output file (structural_r2.txt) and reflect the proportion of variance explained by the predictors in each endogenous variable.</w:t>
      </w:r>
    </w:p>
    <w:p>
      <w:pPr>
        <w:spacing w:after="120"/>
      </w:pPr>
      <w:r>
        <w:rPr>
          <w:b/>
        </w:rPr>
        <w:t>R² (selected)</w:t>
      </w:r>
    </w:p>
    <w:tbl>
      <w:tblPr>
        <w:tblW w:type="auto" w:w="0"/>
        <w:jc w:val="left"/>
        <w:tblLook w:firstColumn="1" w:firstRow="1" w:lastColumn="0" w:lastRow="0" w:noHBand="0" w:noVBand="1" w:val="04A0"/>
      </w:tblPr>
      <w:tblGrid>
        <w:gridCol w:w="4320"/>
        <w:gridCol w:w="4320"/>
      </w:tblGrid>
      <w:tr>
        <w:tc>
          <w:tcPr>
            <w:tcW w:type="dxa" w:w="4320"/>
          </w:tcPr>
          <w:p>
            <w:r>
              <w:rPr>
                <w:rFonts w:ascii="Times New Roman" w:hAnsi="Times New Roman"/>
                <w:sz w:val="22"/>
              </w:rPr>
              <w:t>Item</w:t>
            </w:r>
          </w:p>
        </w:tc>
        <w:tc>
          <w:tcPr>
            <w:tcW w:type="dxa" w:w="4320"/>
          </w:tcPr>
          <w:p>
            <w:r>
              <w:rPr>
                <w:rFonts w:ascii="Times New Roman" w:hAnsi="Times New Roman"/>
                <w:sz w:val="22"/>
              </w:rPr>
              <w:t>Value</w:t>
            </w:r>
          </w:p>
        </w:tc>
      </w:tr>
      <w:tr>
        <w:tc>
          <w:tcPr>
            <w:tcW w:type="dxa" w:w="4320"/>
          </w:tcPr>
          <w:p>
            <w:r>
              <w:rPr>
                <w:rFonts w:ascii="Times New Roman" w:hAnsi="Times New Roman"/>
                <w:sz w:val="22"/>
              </w:rPr>
              <w:t>EmoDiss</w:t>
            </w:r>
          </w:p>
        </w:tc>
        <w:tc>
          <w:tcPr>
            <w:tcW w:type="dxa" w:w="4320"/>
          </w:tcPr>
          <w:p>
            <w:r>
              <w:rPr>
                <w:rFonts w:ascii="Times New Roman" w:hAnsi="Times New Roman"/>
                <w:sz w:val="22"/>
              </w:rPr>
              <w:t>—</w:t>
            </w:r>
          </w:p>
        </w:tc>
      </w:tr>
      <w:tr>
        <w:tc>
          <w:tcPr>
            <w:tcW w:type="dxa" w:w="4320"/>
          </w:tcPr>
          <w:p>
            <w:r>
              <w:rPr>
                <w:rFonts w:ascii="Times New Roman" w:hAnsi="Times New Roman"/>
                <w:sz w:val="22"/>
              </w:rPr>
              <w:t>QualEngag</w:t>
            </w:r>
          </w:p>
        </w:tc>
        <w:tc>
          <w:tcPr>
            <w:tcW w:type="dxa" w:w="4320"/>
          </w:tcPr>
          <w:p>
            <w:r>
              <w:rPr>
                <w:rFonts w:ascii="Times New Roman" w:hAnsi="Times New Roman"/>
                <w:sz w:val="22"/>
              </w:rPr>
              <w:t>0.872</w:t>
            </w:r>
          </w:p>
        </w:tc>
      </w:tr>
      <w:tr>
        <w:tc>
          <w:tcPr>
            <w:tcW w:type="dxa" w:w="4320"/>
          </w:tcPr>
          <w:p>
            <w:r>
              <w:rPr>
                <w:rFonts w:ascii="Times New Roman" w:hAnsi="Times New Roman"/>
                <w:sz w:val="22"/>
              </w:rPr>
              <w:t>DevAdj</w:t>
            </w:r>
          </w:p>
        </w:tc>
        <w:tc>
          <w:tcPr>
            <w:tcW w:type="dxa" w:w="4320"/>
          </w:tcPr>
          <w:p>
            <w:r>
              <w:rPr>
                <w:rFonts w:ascii="Times New Roman" w:hAnsi="Times New Roman"/>
                <w:sz w:val="22"/>
              </w:rPr>
              <w:t>—</w:t>
            </w:r>
          </w:p>
        </w:tc>
      </w:tr>
    </w:tbl>
    <w:p>
      <w:pPr>
        <w:pStyle w:val="Heading2"/>
      </w:pPr>
      <w:r>
        <w:t>11. Plain-language summary of what these results say</w:t>
      </w:r>
    </w:p>
    <w:p>
      <w:pPr>
        <w:spacing w:after="120"/>
      </w:pPr>
      <w:r>
        <w:t>In this run, FASt status is positively associated with emotional distress (a1), and higher emotional distress is associated with lower developmental adjustment (b1). The resulting indirect effect through emotional distress is negative and statistically different from zero at low, average, and high credit dose levels.</w:t>
      </w:r>
    </w:p>
    <w:p>
      <w:pPr>
        <w:spacing w:after="120"/>
      </w:pPr>
      <w:r>
        <w:t>FASt status is not statistically associated with quality of engagement in the parallel model (a2), and the treated-only credit-dose interaction is not statistically associated with either mediator (a1z, a2z) or with developmental adjustment (cz). The indices of moderated mediation are not statistically different from zero in this run.</w:t>
      </w:r>
    </w:p>
    <w:p>
      <w:pPr>
        <w:spacing w:after="120"/>
      </w:pPr>
      <w:r>
        <w:t>The direct effect of FASt status on developmental adjustment (c) is not statistically different from zero in this run. The conditional total effect is negative and statistically different from zero at the average and high credit dose levels; at the low credit dose level it is negative but does not reach conventional statistical significance.</w:t>
      </w:r>
    </w:p>
    <w:p/>
    <w:p>
      <w:r>
        <w:rPr>
          <w:b/>
        </w:rPr>
        <w:t>Outputs used for this write-up:</w:t>
      </w:r>
    </w:p>
    <w:p>
      <w:r>
        <w:t>/Users/jjohnson3/Documents/GitHub/Process-SEM/4_Model_Results/Outputs/FullRun_Prepped_20260103_2037/RQ1_RQ3_main/structural/structural_fitMeasures.txt</w:t>
      </w:r>
    </w:p>
    <w:p>
      <w:r>
        <w:t>/Users/jjohnson3/Documents/GitHub/Process-SEM/4_Model_Results/Outputs/FullRun_Prepped_20260103_2037/RQ1_RQ3_main/structural/structural_parameterEstimates.txt</w:t>
      </w:r>
    </w:p>
    <w:p>
      <w:r>
        <w:t>/Users/jjohnson3/Documents/GitHub/Process-SEM/4_Model_Results/Outputs/FullRun_Prepped_20260103_2037/A0_total_effect/structural/structural_parameterEstimates.txt</w:t>
      </w:r>
    </w:p>
    <w:p>
      <w:r>
        <w:t>/Users/jjohnson3/Documents/GitHub/Process-SEM/4_Model_Results/Outputs/FullRun_Prepped_20260103_2037/A1_serial_exploratory/structural/structural_parameterEstimates.txt</w:t>
      </w:r>
    </w:p>
    <w:p>
      <w:r>
        <w:t>/Users/jjohnson3/Documents/GitHub/Process-SEM/4_Model_Results/Outputs/FullRun_Prepped_20260103_2037/logs/verification_checklist.txt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