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Path Coefficients From Bootstrap Analysis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 (X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0.127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0.037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[0.054, 0.200]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a₁z (X×Z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[-0.027, 0.032]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 (X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0.036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[-0.082, 0.061]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a₂z (X×Z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[-0.042, 0.014]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 (X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0.041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[0.015, 0.068]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c′z (X×Z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[-0.018, 0.000]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b₁ (M₁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-0.203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[-0.217, -0.188]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b₂ (M₂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0.160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[0.146, 0.174]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X = FASt status; Z = credit dose (centered); M₁ = Emotional Distress; M₂ = Quality of Engagement; Y = Developmental Adjustment.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Bootstrap B = 2,000.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Direct, Indirect, and Total Effects at Mean Credit Dose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Direct effect (c′)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0.041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[0.015, 0.068]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[-0.041, -0.011]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[-0.013, 0.010]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effect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0.047]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Effects at mean credit dose (Z = 0). Indirect = a × b.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2,000.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Conditional Indirect Effects and Index of Moderated Mediation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[-0.048, -0.001]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[-0.041, -0.011]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[-0.040, -0.014]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(EmoDiss)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[-0.007, 0.005]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[-0.015, 0.020]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[-0.013, 0.010]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[-0.016, 0.004]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(QualEngag)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[-0.007, 0.002]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Conditional effects at −1 SD, mean, +1 SD of credit dose. IMM = a₁z × b (rate of change in indirect per unit Z).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2,000.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