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964" w:rsidRPr="00EE64E1" w:rsidRDefault="007775DD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r w:rsidRPr="00EE64E1">
        <w:rPr>
          <w:rFonts w:ascii="Times New Roman" w:hAnsi="Times New Roman" w:cs="Times New Roman"/>
          <w:b/>
          <w:sz w:val="24"/>
        </w:rPr>
        <w:t>Objective 1: Understand Mortality Distribution</w:t>
      </w:r>
    </w:p>
    <w:p w:rsidR="00E16964" w:rsidRPr="00DB58F3" w:rsidRDefault="007775DD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DB58F3">
        <w:rPr>
          <w:rFonts w:ascii="Times New Roman" w:hAnsi="Times New Roman" w:cs="Times New Roman"/>
          <w:sz w:val="24"/>
        </w:rPr>
        <w:t>Distribution of Under-Five Mortality Rates</w:t>
      </w:r>
    </w:p>
    <w:p w:rsidR="00E16964" w:rsidRPr="00DB58F3" w:rsidRDefault="007775DD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DB58F3">
        <w:rPr>
          <w:rFonts w:ascii="Times New Roman" w:hAnsi="Times New Roman" w:cs="Times New Roman"/>
          <w:sz w:val="24"/>
        </w:rPr>
        <w:t>The distribution of under-five mortality rates across countries or regions was visualized using a histogram with a kernel density estimate (KDE). This provides insights into how mortality rates are distributed and helps to identify trends in global under-five mortality.</w:t>
      </w:r>
    </w:p>
    <w:p w:rsidR="007775DD" w:rsidRPr="00DB58F3" w:rsidRDefault="007775DD" w:rsidP="00DB58F3">
      <w:pPr>
        <w:spacing w:after="100" w:afterAutospacing="1" w:line="480" w:lineRule="auto"/>
        <w:contextualSpacing/>
        <w:jc w:val="center"/>
        <w:rPr>
          <w:rFonts w:ascii="Times New Roman" w:hAnsi="Times New Roman" w:cs="Times New Roman"/>
          <w:sz w:val="24"/>
        </w:rPr>
      </w:pPr>
      <w:r w:rsidRPr="00DB58F3">
        <w:rPr>
          <w:rFonts w:ascii="Times New Roman" w:hAnsi="Times New Roman" w:cs="Times New Roman"/>
          <w:sz w:val="24"/>
        </w:rPr>
        <w:drawing>
          <wp:inline distT="0" distB="0" distL="0" distR="0" wp14:anchorId="547465A0" wp14:editId="106B82A5">
            <wp:extent cx="45720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der_five_mortality_distribut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64" w:rsidRPr="00DB58F3" w:rsidRDefault="007775DD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DB58F3">
        <w:rPr>
          <w:rFonts w:ascii="Times New Roman" w:hAnsi="Times New Roman" w:cs="Times New Roman"/>
          <w:sz w:val="24"/>
        </w:rPr>
        <w:t>The distr</w:t>
      </w:r>
      <w:r w:rsidR="00DB58F3">
        <w:rPr>
          <w:rFonts w:ascii="Times New Roman" w:hAnsi="Times New Roman" w:cs="Times New Roman"/>
          <w:sz w:val="24"/>
        </w:rPr>
        <w:t>ibution of infant deaths</w:t>
      </w:r>
      <w:r w:rsidRPr="00DB58F3">
        <w:rPr>
          <w:rFonts w:ascii="Times New Roman" w:hAnsi="Times New Roman" w:cs="Times New Roman"/>
          <w:sz w:val="24"/>
        </w:rPr>
        <w:t xml:space="preserve"> was also analyzed and visualized using a histogram with KDE. This analysis helps understand the frequency of infant deaths, which is a critical aspect of global health.</w:t>
      </w:r>
    </w:p>
    <w:p w:rsidR="00E16964" w:rsidRPr="00DB58F3" w:rsidRDefault="00E16964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7775DD" w:rsidRPr="00DB58F3" w:rsidRDefault="007775DD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7775DD" w:rsidRPr="00DB58F3" w:rsidRDefault="007775DD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DB58F3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77FAD6A" wp14:editId="482C7B32">
            <wp:extent cx="45720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ant_deaths_distribut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64" w:rsidRPr="00DB58F3" w:rsidRDefault="007775DD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r w:rsidRPr="00DB58F3">
        <w:rPr>
          <w:rFonts w:ascii="Times New Roman" w:hAnsi="Times New Roman" w:cs="Times New Roman"/>
          <w:b/>
          <w:sz w:val="24"/>
        </w:rPr>
        <w:t>Objective 2: Correlation Analysis</w:t>
      </w:r>
    </w:p>
    <w:p w:rsidR="00E16964" w:rsidRPr="00DB58F3" w:rsidRDefault="007775DD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DB58F3">
        <w:rPr>
          <w:rFonts w:ascii="Times New Roman" w:hAnsi="Times New Roman" w:cs="Times New Roman"/>
          <w:sz w:val="24"/>
        </w:rPr>
        <w:t xml:space="preserve">Correlation </w:t>
      </w:r>
      <w:proofErr w:type="spellStart"/>
      <w:r w:rsidRPr="00DB58F3">
        <w:rPr>
          <w:rFonts w:ascii="Times New Roman" w:hAnsi="Times New Roman" w:cs="Times New Roman"/>
          <w:sz w:val="24"/>
        </w:rPr>
        <w:t>Heatmap</w:t>
      </w:r>
      <w:proofErr w:type="spellEnd"/>
    </w:p>
    <w:p w:rsidR="00E16964" w:rsidRPr="00DB58F3" w:rsidRDefault="007775DD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DB58F3">
        <w:rPr>
          <w:rFonts w:ascii="Times New Roman" w:hAnsi="Times New Roman" w:cs="Times New Roman"/>
          <w:sz w:val="24"/>
        </w:rPr>
        <w:t xml:space="preserve">A correlation matrix was computed to understand the relationships between different numeric variables in the dataset. The correlation </w:t>
      </w:r>
      <w:proofErr w:type="spellStart"/>
      <w:r w:rsidRPr="00DB58F3">
        <w:rPr>
          <w:rFonts w:ascii="Times New Roman" w:hAnsi="Times New Roman" w:cs="Times New Roman"/>
          <w:sz w:val="24"/>
        </w:rPr>
        <w:t>heatmap</w:t>
      </w:r>
      <w:proofErr w:type="spellEnd"/>
      <w:r w:rsidRPr="00DB58F3">
        <w:rPr>
          <w:rFonts w:ascii="Times New Roman" w:hAnsi="Times New Roman" w:cs="Times New Roman"/>
          <w:sz w:val="24"/>
        </w:rPr>
        <w:t xml:space="preserve"> visualizes these relationships, helping identify which factors are most closely associated with under-five mortality.</w:t>
      </w:r>
    </w:p>
    <w:p w:rsidR="00E16964" w:rsidRPr="00DB58F3" w:rsidRDefault="007775DD" w:rsidP="00DB58F3">
      <w:pPr>
        <w:spacing w:after="100" w:afterAutospacing="1" w:line="480" w:lineRule="auto"/>
        <w:contextualSpacing/>
        <w:jc w:val="center"/>
        <w:rPr>
          <w:rFonts w:ascii="Times New Roman" w:hAnsi="Times New Roman" w:cs="Times New Roman"/>
          <w:sz w:val="24"/>
        </w:rPr>
      </w:pPr>
      <w:r w:rsidRPr="00DB58F3">
        <w:rPr>
          <w:rFonts w:ascii="Times New Roman" w:hAnsi="Times New Roman" w:cs="Times New Roman"/>
          <w:sz w:val="24"/>
        </w:rPr>
        <w:drawing>
          <wp:inline distT="0" distB="0" distL="0" distR="0" wp14:anchorId="6D7F1623" wp14:editId="3F8128E9">
            <wp:extent cx="4208318" cy="280554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ation_heatma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333" cy="281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F3" w:rsidRPr="00DB58F3" w:rsidRDefault="00DB58F3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DB58F3" w:rsidRDefault="00DB58F3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E16964" w:rsidRPr="00DB58F3" w:rsidRDefault="007775DD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r w:rsidRPr="00DB58F3">
        <w:rPr>
          <w:rFonts w:ascii="Times New Roman" w:hAnsi="Times New Roman" w:cs="Times New Roman"/>
          <w:b/>
          <w:sz w:val="24"/>
        </w:rPr>
        <w:lastRenderedPageBreak/>
        <w:t>Objective 3: Investigate Key Drivers</w:t>
      </w:r>
    </w:p>
    <w:p w:rsidR="00E16964" w:rsidRPr="00DB58F3" w:rsidRDefault="007775DD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DB58F3">
        <w:rPr>
          <w:rFonts w:ascii="Times New Roman" w:hAnsi="Times New Roman" w:cs="Times New Roman"/>
          <w:sz w:val="24"/>
        </w:rPr>
        <w:t xml:space="preserve">Health Insurance Coverage </w:t>
      </w:r>
      <w:proofErr w:type="spellStart"/>
      <w:r w:rsidRPr="00DB58F3">
        <w:rPr>
          <w:rFonts w:ascii="Times New Roman" w:hAnsi="Times New Roman" w:cs="Times New Roman"/>
          <w:sz w:val="24"/>
        </w:rPr>
        <w:t>vs</w:t>
      </w:r>
      <w:proofErr w:type="spellEnd"/>
      <w:r w:rsidRPr="00DB58F3">
        <w:rPr>
          <w:rFonts w:ascii="Times New Roman" w:hAnsi="Times New Roman" w:cs="Times New Roman"/>
          <w:sz w:val="24"/>
        </w:rPr>
        <w:t xml:space="preserve"> Under-Five Mortality</w:t>
      </w:r>
    </w:p>
    <w:p w:rsidR="00E16964" w:rsidRPr="00DB58F3" w:rsidRDefault="007775DD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DB58F3">
        <w:rPr>
          <w:rFonts w:ascii="Times New Roman" w:hAnsi="Times New Roman" w:cs="Times New Roman"/>
          <w:sz w:val="24"/>
        </w:rPr>
        <w:t>The relationship between health insurance coverage and under-five mortality rates was examined through a scatterplot. Health protection coverage can play a significant role in reducing child mortality, and this analysis highlights any potential trends.</w:t>
      </w:r>
    </w:p>
    <w:p w:rsidR="00DB58F3" w:rsidRDefault="00DB58F3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DB58F3">
        <w:rPr>
          <w:rFonts w:ascii="Times New Roman" w:hAnsi="Times New Roman" w:cs="Times New Roman"/>
          <w:sz w:val="24"/>
        </w:rPr>
        <w:drawing>
          <wp:inline distT="0" distB="0" distL="0" distR="0" wp14:anchorId="4CF32F99" wp14:editId="2875D69A">
            <wp:extent cx="5391727" cy="323503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lth_insurance_vs_mortalit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7259" cy="32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F3" w:rsidRDefault="00DB58F3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DB58F3" w:rsidRDefault="00DB58F3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DB58F3" w:rsidRDefault="00DB58F3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DB58F3" w:rsidRDefault="00DB58F3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DB58F3" w:rsidRDefault="00DB58F3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DB58F3" w:rsidRDefault="00DB58F3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DB58F3" w:rsidRDefault="00DB58F3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DB58F3" w:rsidRDefault="00DB58F3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DB58F3" w:rsidRDefault="00DB58F3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DB58F3" w:rsidRDefault="00DB58F3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E16964" w:rsidRPr="00DB58F3" w:rsidRDefault="007775DD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r w:rsidRPr="00DB58F3">
        <w:rPr>
          <w:rFonts w:ascii="Times New Roman" w:hAnsi="Times New Roman" w:cs="Times New Roman"/>
          <w:b/>
          <w:sz w:val="24"/>
        </w:rPr>
        <w:t xml:space="preserve">Maternal Deaths </w:t>
      </w:r>
      <w:proofErr w:type="spellStart"/>
      <w:r w:rsidRPr="00DB58F3">
        <w:rPr>
          <w:rFonts w:ascii="Times New Roman" w:hAnsi="Times New Roman" w:cs="Times New Roman"/>
          <w:b/>
          <w:sz w:val="24"/>
        </w:rPr>
        <w:t>vs</w:t>
      </w:r>
      <w:proofErr w:type="spellEnd"/>
      <w:r w:rsidRPr="00DB58F3">
        <w:rPr>
          <w:rFonts w:ascii="Times New Roman" w:hAnsi="Times New Roman" w:cs="Times New Roman"/>
          <w:b/>
          <w:sz w:val="24"/>
        </w:rPr>
        <w:t xml:space="preserve"> Under-Five Mortality</w:t>
      </w:r>
    </w:p>
    <w:p w:rsidR="007775DD" w:rsidRPr="00DB58F3" w:rsidRDefault="007775DD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DB58F3">
        <w:rPr>
          <w:rFonts w:ascii="Times New Roman" w:hAnsi="Times New Roman" w:cs="Times New Roman"/>
          <w:sz w:val="24"/>
        </w:rPr>
        <w:t>Finally, maternal deaths were compared with under-five mortality rates. Maternal health is closely linked to infant mortality, and understanding this relationship helps identify areas that require intervention.</w:t>
      </w:r>
    </w:p>
    <w:p w:rsidR="007775DD" w:rsidRPr="00DB58F3" w:rsidRDefault="007775DD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DB58F3">
        <w:rPr>
          <w:rFonts w:ascii="Times New Roman" w:hAnsi="Times New Roman" w:cs="Times New Roman"/>
          <w:sz w:val="24"/>
        </w:rPr>
        <w:drawing>
          <wp:inline distT="0" distB="0" distL="0" distR="0" wp14:anchorId="54645E0D" wp14:editId="2978F808">
            <wp:extent cx="5795818" cy="347749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ernal_deaths_vs_mortalit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6329" cy="348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F3" w:rsidRDefault="00DB58F3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DB58F3" w:rsidRDefault="00DB58F3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b/>
          <w:sz w:val="24"/>
        </w:rPr>
      </w:pPr>
    </w:p>
    <w:p w:rsidR="00DB58F3" w:rsidRDefault="00DB58F3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b/>
          <w:sz w:val="24"/>
        </w:rPr>
      </w:pPr>
    </w:p>
    <w:p w:rsidR="00DB58F3" w:rsidRDefault="00DB58F3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b/>
          <w:sz w:val="24"/>
        </w:rPr>
      </w:pPr>
    </w:p>
    <w:p w:rsidR="00DB58F3" w:rsidRDefault="00DB58F3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b/>
          <w:sz w:val="24"/>
        </w:rPr>
      </w:pPr>
    </w:p>
    <w:p w:rsidR="00DB58F3" w:rsidRDefault="00DB58F3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b/>
          <w:sz w:val="24"/>
        </w:rPr>
      </w:pPr>
    </w:p>
    <w:p w:rsidR="00DB58F3" w:rsidRDefault="00DB58F3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b/>
          <w:sz w:val="24"/>
        </w:rPr>
      </w:pPr>
    </w:p>
    <w:p w:rsidR="00DB58F3" w:rsidRDefault="00DB58F3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b/>
          <w:sz w:val="24"/>
        </w:rPr>
      </w:pPr>
    </w:p>
    <w:p w:rsidR="00DB58F3" w:rsidRPr="00DB58F3" w:rsidRDefault="007775DD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DB58F3">
        <w:rPr>
          <w:rFonts w:ascii="Times New Roman" w:hAnsi="Times New Roman" w:cs="Times New Roman"/>
          <w:b/>
          <w:sz w:val="24"/>
        </w:rPr>
        <w:lastRenderedPageBreak/>
        <w:t>Conclusions and Recommendations</w:t>
      </w:r>
    </w:p>
    <w:p w:rsidR="00DB58F3" w:rsidRDefault="007775DD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DB58F3">
        <w:rPr>
          <w:rFonts w:ascii="Times New Roman" w:hAnsi="Times New Roman" w:cs="Times New Roman"/>
          <w:sz w:val="24"/>
        </w:rPr>
        <w:t>The distribution of under-five mortality rates and infant deaths shows a clear variation across different regions. Areas with higher mortality rates may need focused interventions in he</w:t>
      </w:r>
      <w:r w:rsidR="00DB58F3">
        <w:rPr>
          <w:rFonts w:ascii="Times New Roman" w:hAnsi="Times New Roman" w:cs="Times New Roman"/>
          <w:sz w:val="24"/>
        </w:rPr>
        <w:t>althcare and vaccination.</w:t>
      </w:r>
    </w:p>
    <w:p w:rsidR="00DB58F3" w:rsidRDefault="00DB58F3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E16964" w:rsidRPr="00DB58F3" w:rsidRDefault="007775DD" w:rsidP="00DB58F3">
      <w:pPr>
        <w:spacing w:after="100" w:afterAutospacing="1" w:line="48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DB58F3">
        <w:rPr>
          <w:rFonts w:ascii="Times New Roman" w:hAnsi="Times New Roman" w:cs="Times New Roman"/>
          <w:sz w:val="24"/>
        </w:rPr>
        <w:t>The correlation analysis indicates significant relationships between various health indicators, particularly maternal health and health insurance coverage, and under-five morta</w:t>
      </w:r>
      <w:r w:rsidR="00DB58F3">
        <w:rPr>
          <w:rFonts w:ascii="Times New Roman" w:hAnsi="Times New Roman" w:cs="Times New Roman"/>
          <w:sz w:val="24"/>
        </w:rPr>
        <w:t>l</w:t>
      </w:r>
      <w:r w:rsidR="00B6372B">
        <w:rPr>
          <w:rFonts w:ascii="Times New Roman" w:hAnsi="Times New Roman" w:cs="Times New Roman"/>
          <w:sz w:val="24"/>
        </w:rPr>
        <w:t xml:space="preserve">ity. </w:t>
      </w:r>
      <w:r w:rsidRPr="00DB58F3">
        <w:rPr>
          <w:rFonts w:ascii="Times New Roman" w:hAnsi="Times New Roman" w:cs="Times New Roman"/>
          <w:sz w:val="24"/>
        </w:rPr>
        <w:t>Targeted efforts to improve maternal healthcare, expand health insurance coverage, and enhance vaccination coverage are essential for reducing infant and child mortality.</w:t>
      </w:r>
      <w:r w:rsidRPr="00DB58F3">
        <w:rPr>
          <w:rFonts w:ascii="Times New Roman" w:hAnsi="Times New Roman" w:cs="Times New Roman"/>
          <w:sz w:val="24"/>
        </w:rPr>
        <w:br/>
        <w:t xml:space="preserve">    </w:t>
      </w:r>
    </w:p>
    <w:sectPr w:rsidR="00E16964" w:rsidRPr="00DB58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75DD"/>
    <w:rsid w:val="00A117C5"/>
    <w:rsid w:val="00AA1D8D"/>
    <w:rsid w:val="00B47730"/>
    <w:rsid w:val="00B6372B"/>
    <w:rsid w:val="00C617E2"/>
    <w:rsid w:val="00CB0664"/>
    <w:rsid w:val="00DB58F3"/>
    <w:rsid w:val="00E16964"/>
    <w:rsid w:val="00EE64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30BA1D6-3F3F-46CC-B133-09256370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68F677-6048-4DCE-BBF6-99594DFB2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6</cp:revision>
  <dcterms:created xsi:type="dcterms:W3CDTF">2013-12-23T23:15:00Z</dcterms:created>
  <dcterms:modified xsi:type="dcterms:W3CDTF">2024-12-17T09:01:00Z</dcterms:modified>
  <cp:category/>
</cp:coreProperties>
</file>