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40"/>
        <w:jc w:val="center"/>
      </w:pPr>
      <w:r>
        <w:drawing>
          <wp:inline xmlns:a="http://schemas.openxmlformats.org/drawingml/2006/main" xmlns:pic="http://schemas.openxmlformats.org/drawingml/2006/picture">
            <wp:extent cx="4572000" cy="148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rec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2"/>
        </w:rPr>
        <w:t>Structure of this document</w:t>
      </w:r>
    </w:p>
    <w:p>
      <w:r>
        <w:rPr>
          <w:b/>
        </w:rPr>
        <w:t>1. Case information</w:t>
      </w:r>
      <w:r>
        <w:br/>
        <w:t>Patient information and a brief narrative overview of the case.</w:t>
      </w:r>
    </w:p>
    <w:p>
      <w:r>
        <w:rPr>
          <w:b/>
        </w:rPr>
        <w:t>2. Patient profile</w:t>
      </w:r>
      <w:r>
        <w:br/>
        <w:t>Overview of key information about the patient.</w:t>
      </w:r>
    </w:p>
    <w:p>
      <w:r>
        <w:rPr>
          <w:b/>
        </w:rPr>
        <w:t>3. Sources used</w:t>
      </w:r>
      <w:r>
        <w:br/>
        <w:t>List of all medical records utilized and the filters applied to compile this summary.</w:t>
      </w:r>
    </w:p>
    <w:p>
      <w:r>
        <w:rPr>
          <w:b/>
        </w:rPr>
        <w:t>4. Chronology</w:t>
      </w:r>
      <w:r>
        <w:br/>
        <w:t>Timeline of events in a comprehensive overview, arranged in the order in which they occurred.</w:t>
      </w:r>
    </w:p>
    <w:p>
      <w:r>
        <w:rPr>
          <w:b/>
        </w:rPr>
        <w:t>5. Medical record summaries</w:t>
      </w:r>
      <w:r>
        <w:br/>
        <w:t>Structured summary to review the most critical information without sifting through extensive medical records.</w:t>
      </w:r>
    </w:p>
    <w:p>
      <w:pPr>
        <w:spacing w:before="240"/>
      </w:pPr>
      <w:r>
        <w:rPr>
          <w:b/>
          <w:sz w:val="28"/>
        </w:rPr>
        <w:t>Do you need help?</w:t>
      </w:r>
    </w:p>
    <w:p>
      <w:r>
        <w:t>If you have any questions or need assistance with issues, please reach out to our customer support team at support@parrot.us.</w:t>
      </w:r>
    </w:p>
    <w:p>
      <w:pPr>
        <w:sectPr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Patient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Date of birth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Gender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t>Male</w:t>
            </w:r>
          </w:p>
        </w:tc>
      </w:tr>
    </w:tbl>
    <w:p>
      <w:pPr>
        <w:spacing w:after="400"/>
      </w:pPr>
    </w:p>
    <w:p>
      <w:pPr>
        <w:spacing w:after="120"/>
      </w:pPr>
      <w:r>
        <w:rPr>
          <w:b/>
          <w:sz w:val="28"/>
        </w:rPr>
        <w:t>Primary Diagnoses</w:t>
      </w:r>
    </w:p>
    <w:p>
      <w:pPr>
        <w:spacing w:after="80"/>
      </w:pPr>
      <w:r>
        <w:rPr>
          <w:b/>
          <w:sz w:val="24"/>
        </w:rPr>
        <w:t>Urinary Tract Infection and Sepsis</w:t>
      </w:r>
    </w:p>
    <w:p>
      <w:r>
        <w:t>The patient was diagnosed with pyelonephritis complicated by septic shock.</w:t>
      </w:r>
    </w:p>
    <w:p>
      <w:r>
        <w:t>Blood cultures revealed E. coli bacteremia, with the organism demonstrating sensitivity to all antibiotics tested.</w:t>
      </w:r>
    </w:p>
    <w:p>
      <w:pPr>
        <w:spacing w:after="80"/>
      </w:pPr>
      <w:r>
        <w:rPr>
          <w:b/>
          <w:sz w:val="24"/>
        </w:rPr>
        <w:t>Prostatic Enlargement</w:t>
      </w:r>
    </w:p>
    <w:p>
      <w:r>
        <w:t>An enlarged prostate was identified as the underlying cause of urinary retention, with post-void residual volumes measuring between 150-200cc.</w:t>
      </w:r>
    </w:p>
    <w:p>
      <w:pPr>
        <w:spacing w:after="120"/>
      </w:pPr>
      <w:r>
        <w:rPr>
          <w:b/>
          <w:sz w:val="28"/>
        </w:rPr>
        <w:t>Initial Presentation</w:t>
      </w:r>
    </w:p>
    <w:p>
      <w:pPr>
        <w:spacing w:after="80"/>
      </w:pPr>
      <w:r>
        <w:rPr>
          <w:b/>
          <w:sz w:val="24"/>
        </w:rPr>
        <w:t>Urinary Symptoms</w:t>
      </w:r>
    </w:p>
    <w:p>
      <w:r>
        <w:t>The patient presented with a five-day history of urinary frequency, urgency, and dysuria, consistent with a urinary tract infection.</w:t>
      </w:r>
    </w:p>
    <w:p>
      <w:pPr>
        <w:spacing w:after="80"/>
      </w:pPr>
      <w:r>
        <w:rPr>
          <w:b/>
          <w:sz w:val="24"/>
        </w:rPr>
        <w:t>Septic Presentation</w:t>
      </w:r>
    </w:p>
    <w:p>
      <w:r>
        <w:t>The clinical presentation included 48 hours of fever and rigors.</w:t>
      </w:r>
    </w:p>
    <w:p>
      <w:r>
        <w:t>Initial vital signs showed hypotension with blood pressure of 80/40 mmHg and tachycardia.</w:t>
      </w:r>
    </w:p>
    <w:p>
      <w:r>
        <w:t>The serum lactate was significantly elevated at 6.1, indicating tissue hypoperfusion.</w:t>
      </w:r>
    </w:p>
    <w:p>
      <w:pPr>
        <w:spacing w:after="120"/>
      </w:pPr>
      <w:r>
        <w:rPr>
          <w:b/>
          <w:sz w:val="28"/>
        </w:rPr>
        <w:t>Hospital Course</w:t>
      </w:r>
    </w:p>
    <w:p>
      <w:pPr>
        <w:spacing w:after="80"/>
      </w:pPr>
      <w:r>
        <w:rPr>
          <w:b/>
          <w:sz w:val="24"/>
        </w:rPr>
        <w:t>Hemodynamic Management</w:t>
      </w:r>
    </w:p>
    <w:p>
      <w:r>
        <w:t>The patient required hemodynamic support with levophed and crystalloid fluids.</w:t>
      </w:r>
    </w:p>
    <w:p>
      <w:r>
        <w:t>Hemodynamic stability was achieved after 12 hours of treatment, concurrent with normalization of serum lactate levels.</w:t>
      </w:r>
    </w:p>
    <w:p>
      <w:pPr>
        <w:spacing w:after="80"/>
      </w:pPr>
      <w:r>
        <w:rPr>
          <w:b/>
          <w:sz w:val="24"/>
        </w:rPr>
        <w:t>Liver Function Abnormalities</w:t>
      </w:r>
    </w:p>
    <w:p>
      <w:r>
        <w:t>Initial liver enzymes were severely elevated with ALT 1001, AST 850, and ALP 450.</w:t>
      </w:r>
    </w:p>
    <w:p>
      <w:r>
        <w:t>These values showed significant improvement by discharge, with final values of ALT 90, AST 70, and ALP 35.</w:t>
      </w:r>
    </w:p>
    <w:p>
      <w:pPr>
        <w:spacing w:after="120"/>
      </w:pPr>
      <w:r>
        <w:rPr>
          <w:b/>
          <w:sz w:val="28"/>
        </w:rPr>
        <w:t>Diagnostic Studies</w:t>
      </w:r>
    </w:p>
    <w:p>
      <w:pPr>
        <w:spacing w:after="80"/>
      </w:pPr>
      <w:r>
        <w:rPr>
          <w:b/>
          <w:sz w:val="24"/>
        </w:rPr>
        <w:t>Imaging Findings</w:t>
      </w:r>
    </w:p>
    <w:p>
      <w:r>
        <w:t>Ultrasound examination of the kidneys and liver demonstrated normal findings.</w:t>
      </w:r>
    </w:p>
    <w:p>
      <w:r>
        <w:t>Prostatic evaluation revealed enlargement with post-void residual volumes of 150-200cc.</w:t>
      </w:r>
    </w:p>
    <w:p>
      <w:pPr>
        <w:spacing w:after="80"/>
      </w:pPr>
      <w:r>
        <w:rPr>
          <w:b/>
          <w:sz w:val="24"/>
        </w:rPr>
        <w:t>Laboratory Results</w:t>
      </w:r>
    </w:p>
    <w:p>
      <w:r>
        <w:t>Blood cultures identified E. coli bacteremia with pan-antibiotic sensitivity.</w:t>
      </w:r>
    </w:p>
    <w:p>
      <w:r>
        <w:t>Liver function tests showed initial severe elevation with subsequent improvement by discharge.</w:t>
      </w:r>
    </w:p>
    <w:p>
      <w:pPr>
        <w:spacing w:after="120"/>
      </w:pPr>
      <w:r>
        <w:rPr>
          <w:b/>
          <w:sz w:val="28"/>
        </w:rPr>
        <w:t>Discharge Plan</w:t>
      </w:r>
    </w:p>
    <w:p>
      <w:pPr>
        <w:spacing w:after="80"/>
      </w:pPr>
      <w:r>
        <w:rPr>
          <w:b/>
          <w:sz w:val="24"/>
        </w:rPr>
        <w:t>Medication Regimen</w:t>
      </w:r>
    </w:p>
    <w:p>
      <w:r>
        <w:t>The discharge medication plan included a 14-day course of ciprofloxacin 500mg twice daily and newly prescribed tamsulosin 0.4mg to be taken at bedtime.</w:t>
      </w:r>
    </w:p>
    <w:p>
      <w:pPr>
        <w:spacing w:after="80"/>
      </w:pPr>
      <w:r>
        <w:rPr>
          <w:b/>
          <w:sz w:val="24"/>
        </w:rPr>
        <w:t>Follow-up Instructions</w:t>
      </w:r>
    </w:p>
    <w:p>
      <w:r>
        <w:t>Follow-up plans include liver enzyme testing in two weeks, urology evaluation for enlarged prostate, and monitoring for orthostatic symptoms.</w:t>
      </w:r>
    </w:p>
    <w:p>
      <w:r>
        <w:t>The patient was instructed to seek immediate medical attention if fever or urinary symptoms recur.</w:t>
      </w:r>
    </w:p>
    <w:p>
      <w:pPr>
        <w:sectPr>
          <w:footerReference w:type="default" r:id="rId11"/>
          <w:head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Patient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Date of birth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Gender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t>Male</w:t>
            </w:r>
          </w:p>
        </w:tc>
      </w:tr>
    </w:tbl>
    <w:p>
      <w:pPr>
        <w:spacing w:after="400"/>
      </w:pPr>
    </w:p>
    <w:p>
      <w:pPr>
        <w:spacing w:after="120"/>
      </w:pPr>
      <w:r>
        <w:rPr>
          <w:b/>
          <w:sz w:val="28"/>
        </w:rPr>
        <w:t>Patient Information</w:t>
      </w:r>
    </w:p>
    <w:p>
      <w:pPr>
        <w:spacing w:after="80"/>
      </w:pPr>
      <w:r>
        <w:rPr>
          <w:b/>
          <w:sz w:val="24"/>
        </w:rPr>
        <w:t>Demographics</w:t>
      </w:r>
    </w:p>
    <w:p>
      <w:r>
        <w:t>The patient is a 65-year-old male.</w:t>
      </w:r>
    </w:p>
    <w:p>
      <w:pPr>
        <w:spacing w:after="80"/>
      </w:pPr>
      <w:r>
        <w:rPr>
          <w:b/>
          <w:sz w:val="24"/>
        </w:rPr>
        <w:t>Current Medical Condition</w:t>
      </w:r>
    </w:p>
    <w:p>
      <w:r>
        <w:t>The patient presents with pyelonephritis complicated by acute kidney injury and transaminitis.</w:t>
      </w:r>
    </w:p>
    <w:p>
      <w:pPr>
        <w:spacing w:after="120"/>
      </w:pPr>
      <w:r>
        <w:rPr>
          <w:b/>
          <w:sz w:val="28"/>
        </w:rPr>
        <w:t>Medical History</w:t>
      </w:r>
    </w:p>
    <w:p>
      <w:pPr>
        <w:spacing w:after="80"/>
      </w:pPr>
      <w:r>
        <w:rPr>
          <w:b/>
          <w:sz w:val="24"/>
        </w:rPr>
        <w:t>Pre-existing Conditions</w:t>
      </w:r>
    </w:p>
    <w:p>
      <w:r>
        <w:t>The patient has a medical history of hypertension, Type 2 diabetes without complications, and iron deficiency anemia.</w:t>
      </w:r>
    </w:p>
    <w:p>
      <w:r>
        <w:t>Additionally, the patient has a one-year history of prostatism symptoms.</w:t>
      </w:r>
    </w:p>
    <w:p>
      <w:pPr>
        <w:spacing w:after="80"/>
      </w:pPr>
      <w:r>
        <w:rPr>
          <w:b/>
          <w:sz w:val="24"/>
        </w:rPr>
        <w:t>Hospital Complications</w:t>
      </w:r>
    </w:p>
    <w:p>
      <w:r>
        <w:t>During hospitalization, the patient developed acute kidney injury and transaminitis.</w:t>
      </w:r>
    </w:p>
    <w:p>
      <w:pPr>
        <w:sectPr>
          <w:footerReference w:type="default" r:id="rId13"/>
          <w:headerReference w:type="defaul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b/>
          <w:sz w:val="32"/>
        </w:rPr>
        <w:t>Sources</w:t>
      </w:r>
    </w:p>
    <w:p>
      <w:r>
        <w:rPr>
          <w:b/>
        </w:rPr>
        <w:t>Medical records used:</w:t>
      </w:r>
    </w:p>
    <w:p>
      <w:r>
        <w:t>test discharge.pdf</w:t>
      </w:r>
    </w:p>
    <w:p>
      <w:pPr>
        <w:sectPr>
          <w:footerReference w:type="default" r:id="rId15"/>
          <w:headerReference w:type="defaul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880"/>
        <w:gridCol w:w="5760"/>
      </w:tblGrid>
      <w:tr>
        <w:tc>
          <w:tcPr>
            <w:tcW w:type="dxa" w:w="2880"/>
          </w:tcPr>
          <w:p>
            <w:pPr>
              <w:spacing w:after="120"/>
            </w:pPr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pPr>
              <w:spacing w:after="120"/>
            </w:pPr>
            <w:r>
              <w:rPr>
                <w:b/>
              </w:rPr>
              <w:t>Provider / Facility</w:t>
            </w:r>
          </w:p>
        </w:tc>
        <w:tc>
          <w:tcPr>
            <w:tcW w:type="dxa" w:w="2880"/>
          </w:tcPr>
          <w:p>
            <w:pPr>
              <w:spacing w:after="120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2160"/>
          </w:tcPr>
          <w:p>
            <w:r/>
          </w:p>
          <w:p>
            <w:pPr>
              <w:spacing w:after="120"/>
            </w:pPr>
            <w:r>
              <w:rPr>
                <w:b/>
              </w:rPr>
              <w:t>08-04-2015</w:t>
            </w:r>
          </w:p>
        </w:tc>
        <w:tc>
          <w:tcPr>
            <w:tcW w:type="dxa" w:w="2880"/>
          </w:tcPr>
          <w:p>
            <w:r/>
          </w:p>
          <w:p>
            <w:pPr>
              <w:spacing w:after="120"/>
            </w:pPr>
            <w:r>
              <w:t>Litt, Dhanjit, MD, Frost, David, MD, Snow, Michael, MD, Lee, Dan, MD, Cole, Kenneth, MD, Jay, Samantha, MD</w:t>
            </w:r>
          </w:p>
          <w:p>
            <w:pPr>
              <w:spacing w:after="120"/>
            </w:pPr>
            <w:r>
              <w:t>Toronto General Hospital</w:t>
            </w:r>
          </w:p>
        </w:tc>
        <w:tc>
          <w:tcPr>
            <w:tcW w:type="dxa" w:w="5760"/>
          </w:tcPr>
          <w:p>
            <w:r/>
          </w:p>
          <w:p>
            <w:pPr>
              <w:spacing w:after="120"/>
            </w:pPr>
            <w:r>
              <w:rPr>
                <w:b/>
              </w:rPr>
              <w:t>Hospitalization for Sepsis</w:t>
            </w:r>
          </w:p>
          <w:p>
            <w:pPr>
              <w:spacing w:after="120"/>
            </w:pPr>
            <w:r>
              <w:t>Patient admitted with septic shock secondary to pyelonephritis, requiring vasopressor support. Condition stabilized with antibiotics and fluid resuscitation. Enlarged prostate identified as underlying cause.</w:t>
            </w:r>
          </w:p>
        </w:tc>
      </w:tr>
    </w:tbl>
    <w:p>
      <w:pPr>
        <w:spacing w:after="400"/>
      </w:pPr>
    </w:p>
    <w:p>
      <w:pPr>
        <w:sectPr>
          <w:footerReference w:type="default" r:id="rId17"/>
          <w:headerReference w:type="default" r:id="rId1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spacing w:after="200"/>
      </w:pPr>
      <w:r>
        <w:rPr>
          <w:b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7200"/>
      </w:tblGrid>
      <w:tr>
        <w:tc>
          <w:tcPr>
            <w:tcW w:type="dxa" w:w="4320"/>
          </w:tcPr>
          <w:p>
            <w:r>
              <w:rPr>
                <w:b/>
              </w:rPr>
              <w:t>Date / Provider / Facility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Summary</w:t>
            </w:r>
          </w:p>
        </w:tc>
      </w:tr>
      <w:tr>
        <w:tc>
          <w:tcPr>
            <w:tcW w:type="dxa" w:w="3600"/>
          </w:tcPr>
          <w:p>
            <w:r/>
          </w:p>
          <w:p>
            <w:r>
              <w:rPr>
                <w:b/>
              </w:rPr>
              <w:t>08-04-2015</w:t>
            </w:r>
          </w:p>
          <w:p>
            <w:r>
              <w:t>Litt, Dhanjit, MD, Frost, David, MD, Snow, Michael, MD, Lee, Dan, MD, Cole, Kenneth, MD, Jay, Samantha, MD</w:t>
            </w:r>
          </w:p>
          <w:p>
            <w:r>
              <w:t>Toronto General Hospital</w:t>
            </w:r>
          </w:p>
        </w:tc>
        <w:tc>
          <w:tcPr>
            <w:tcW w:type="dxa" w:w="7200"/>
          </w:tcPr>
          <w:p>
            <w:r/>
          </w:p>
          <w:p>
            <w:pPr>
              <w:spacing w:after="120"/>
            </w:pPr>
            <w:r>
              <w:rPr>
                <w:b/>
              </w:rPr>
              <w:t>Hospital Course</w:t>
            </w:r>
          </w:p>
          <w:p>
            <w:pPr>
              <w:spacing w:after="120"/>
            </w:pPr>
            <w:r>
              <w:rPr>
                <w:b/>
              </w:rPr>
              <w:t xml:space="preserve">Initial Presentation: </w:t>
            </w:r>
            <w:r>
              <w:t>Patient presented with five days of increased urinary frequency, urgency and dysuria, plus 48 hours of fever and rigors.</w:t>
            </w:r>
            <w:r>
              <w:t>Initial assessment showed hypotension (BP 80/40) and tachycardia with elevated serum lactate of 6.1.</w:t>
            </w:r>
          </w:p>
          <w:p>
            <w:pPr>
              <w:spacing w:after="120"/>
            </w:pPr>
            <w:r>
              <w:rPr>
                <w:b/>
              </w:rPr>
              <w:t xml:space="preserve">Clinical Course and Treatment: </w:t>
            </w:r>
            <w:r>
              <w:t>Diagnosed with pyelonephritis.</w:t>
            </w:r>
            <w:r>
              <w:t>Received 1.5L IV fluid bolus but remained hypotensive, requiring hemodynamic support with levophed and crystalloids.</w:t>
            </w:r>
            <w:r>
              <w:t>Arterial line placed for monitoring.</w:t>
            </w:r>
            <w:r>
              <w:t>Blood cultures positive for E.Coli, sensitive to all antibiotics.</w:t>
            </w:r>
            <w:r>
              <w:t>After 12 hours, serum lactate normalized and hemodynamics stabilized.</w:t>
            </w:r>
          </w:p>
          <w:p>
            <w:pPr>
              <w:spacing w:after="240"/>
            </w:pPr>
            <w:r>
              <w:rPr>
                <w:b/>
              </w:rPr>
              <w:t xml:space="preserve">Diagnostic Findings: </w:t>
            </w:r>
            <w:r>
              <w:t>Severely elevated liver enzymes initially (ALT 1001 IU/L, AST 850 IU/L, ALP 450 IU/L), improved at discharge (ALT 90 IU/L, AST 70 IU/L, ALP 35 IU/L).</w:t>
            </w:r>
            <w:r>
              <w:t>Abdominal ultrasound revealed severely enlarged prostate with significant post-void residuals (150-200cc), identified as the underlying mechanism for pyelonephritis.</w:t>
            </w:r>
            <w:r>
              <w:t>Normal kidney and liver findings on ultrasound.</w:t>
            </w:r>
          </w:p>
          <w:p>
            <w:pPr>
              <w:spacing w:after="120"/>
            </w:pPr>
            <w:r>
              <w:rPr>
                <w:b/>
              </w:rPr>
              <w:t>Discharge Plan</w:t>
            </w:r>
          </w:p>
          <w:p>
            <w:pPr>
              <w:spacing w:after="120"/>
            </w:pPr>
            <w:r>
              <w:rPr>
                <w:b/>
              </w:rPr>
              <w:t xml:space="preserve">Medications: </w:t>
            </w:r>
            <w:r>
              <w:t>Continuing: Proferrin 1 tablet daily, Ramipril 10mg daily, Metformin 500mg BID.</w:t>
            </w:r>
            <w:r>
              <w:t>New: Ciprofloxacin 500mg twice daily to complete 14-day course, Tamsulosin 0.4mg QHS for enlarged prostate.</w:t>
            </w:r>
          </w:p>
          <w:p>
            <w:pPr>
              <w:spacing w:after="240"/>
            </w:pPr>
            <w:r>
              <w:rPr>
                <w:b/>
              </w:rPr>
              <w:t xml:space="preserve">Follow-up Care: </w:t>
            </w:r>
            <w:r>
              <w:t>Mandatory follow-up in two weeks for repeat AST and ALT testing to ensure normalization.</w:t>
            </w:r>
            <w:r>
              <w:t>Urology evaluation arranged for enlarged prostate management.</w:t>
            </w:r>
            <w:r>
              <w:t>Patient to seek immediate medical attention if fever or urinary symptoms recur.</w:t>
            </w:r>
            <w:r>
              <w:t>Monitor for orthostatic symptoms with new prostate medication.</w:t>
            </w:r>
          </w:p>
        </w:tc>
      </w:tr>
    </w:tbl>
    <w:p>
      <w:pPr>
        <w:spacing w:after="400"/>
      </w:pPr>
    </w:p>
    <w:sectPr w:rsidR="00FC693F" w:rsidRPr="0006063C" w:rsidSect="00034616">
      <w:footerReference w:type="default" r:id="rId19"/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t xml:space="preserve">AI-generated summary provided by </w:t>
    </w:r>
    <w:hyperlink r:id="rId1">
      <w:r>
        <w:rPr>
          <w:color w:val="000000" w:themeColor="hyperlink"/>
          <w:u w:val="single"/>
        </w:rPr>
        <w:t>Parrot.us</w:t>
      </w:r>
    </w:hyperlink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tabs>
        <w:tab w:pos="10440" w:val="right"/>
      </w:tabs>
    </w:pPr>
    <w:r>
      <w:t xml:space="preserve">Page </w:t>
    </w:r>
    <w:r>
      <w:fldChar w:fldCharType="begin"/>
      <w:instrText xml:space="preserve"> PAGE </w:instrText>
      <w:fldChar w:fldCharType="end"/>
    </w:r>
    <w:r>
      <w:tab/>
    </w:r>
    <w:r>
      <w:t xml:space="preserve">AI-generated summary provided by </w:t>
    </w:r>
    <w:hyperlink r:id="rId1">
      <w:r>
        <w:rPr>
          <w:color w:val="000000" w:themeColor="hyperlink"/>
          <w:u w:val="single"/>
        </w:rPr>
        <w:t>Parrot.us</w:t>
      </w:r>
    </w:hyperlink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tabs>
        <w:tab w:pos="10440" w:val="right"/>
      </w:tabs>
    </w:pPr>
    <w:r>
      <w:t xml:space="preserve">Page </w:t>
    </w:r>
    <w:r>
      <w:fldChar w:fldCharType="begin"/>
      <w:instrText xml:space="preserve"> PAGE </w:instrText>
      <w:fldChar w:fldCharType="end"/>
    </w:r>
    <w:r>
      <w:tab/>
    </w:r>
    <w:r>
      <w:t xml:space="preserve">AI-generated summary provided by </w:t>
    </w:r>
    <w:hyperlink r:id="rId1">
      <w:r>
        <w:rPr>
          <w:color w:val="000000" w:themeColor="hyperlink"/>
          <w:u w:val="single"/>
        </w:rPr>
        <w:t>Parrot.us</w:t>
      </w:r>
    </w:hyperlink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tabs>
        <w:tab w:pos="10440" w:val="right"/>
      </w:tabs>
    </w:pPr>
    <w:r>
      <w:t xml:space="preserve">Page </w:t>
    </w:r>
    <w:r>
      <w:fldChar w:fldCharType="begin"/>
      <w:instrText xml:space="preserve"> PAGE </w:instrText>
      <w:fldChar w:fldCharType="end"/>
    </w:r>
    <w:r>
      <w:tab/>
    </w:r>
    <w:r>
      <w:t xml:space="preserve">AI-generated summary provided by </w:t>
    </w:r>
    <w:hyperlink r:id="rId1">
      <w:r>
        <w:rPr>
          <w:color w:val="000000" w:themeColor="hyperlink"/>
          <w:u w:val="single"/>
        </w:rPr>
        <w:t>Parrot.us</w:t>
      </w:r>
    </w:hyperlink>
  </w:p>
</w:ftr>
</file>

<file path=word/footer5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tabs>
        <w:tab w:pos="10440" w:val="right"/>
      </w:tabs>
    </w:pPr>
    <w:r>
      <w:t xml:space="preserve">Page </w:t>
    </w:r>
    <w:r>
      <w:fldChar w:fldCharType="begin"/>
      <w:instrText xml:space="preserve"> PAGE </w:instrText>
      <w:fldChar w:fldCharType="end"/>
    </w:r>
    <w:r>
      <w:tab/>
    </w:r>
    <w:r>
      <w:t xml:space="preserve">AI-generated summary provided by </w:t>
    </w:r>
    <w:hyperlink r:id="rId1">
      <w:r>
        <w:rPr>
          <w:color w:val="000000" w:themeColor="hyperlink"/>
          <w:u w:val="single"/>
        </w:rPr>
        <w:t>Parrot.us</w:t>
      </w:r>
    </w:hyperlink>
  </w:p>
</w:ftr>
</file>

<file path=word/footer6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tabs>
        <w:tab w:pos="10440" w:val="right"/>
      </w:tabs>
    </w:pPr>
    <w:r>
      <w:t xml:space="preserve">Page </w:t>
    </w:r>
    <w:r>
      <w:fldChar w:fldCharType="begin"/>
      <w:instrText xml:space="preserve"> PAGE </w:instrText>
      <w:fldChar w:fldCharType="end"/>
    </w:r>
    <w:r>
      <w:tab/>
    </w:r>
    <w:r>
      <w:t xml:space="preserve">AI-generated summary provided by </w:t>
    </w:r>
    <w:hyperlink r:id="rId1">
      <w:r>
        <w:rPr>
          <w:color w:val="000000" w:themeColor="hyperlink"/>
          <w:u w:val="single"/>
        </w:rPr>
        <w:t>Parrot.us</w:t>
      </w:r>
    </w:hyperlink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before="0"/>
    </w:pPr>
    <w:r>
      <w:rPr>
        <w:b/>
        <w:sz w:val="28"/>
      </w:rPr>
      <w:t>Case overview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before="0"/>
    </w:pPr>
    <w:r>
      <w:rPr>
        <w:b/>
        <w:sz w:val="28"/>
      </w:rPr>
      <w:t>Patient profile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tabs>
        <w:tab w:pos="10440" w:val="right"/>
      </w:tabs>
    </w:pPr>
    <w:r>
      <w:rPr>
        <w:b/>
        <w:sz w:val="28"/>
      </w:rPr>
      <w:t>Case overview</w:t>
      <w:tab/>
    </w:r>
    <w:r>
      <w:t xml:space="preserve"> | 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tabs>
        <w:tab w:pos="10440" w:val="right"/>
      </w:tabs>
    </w:pPr>
    <w:r>
      <w:rPr>
        <w:b/>
        <w:sz w:val="28"/>
      </w:rPr>
      <w:t>Chronology</w:t>
      <w:tab/>
    </w:r>
    <w:r>
      <w:t xml:space="preserve"> | 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tabs>
        <w:tab w:pos="10440" w:val="right"/>
      </w:tabs>
    </w:pPr>
    <w:r>
      <w:rPr>
        <w:b/>
        <w:sz w:val="28"/>
      </w:rPr>
      <w:t>Summaries</w:t>
      <w:tab/>
    </w:r>
    <w:r>
      <w:t xml:space="preserve"> |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header" Target="header2.xml"/><Relationship Id="rId15" Type="http://schemas.openxmlformats.org/officeDocument/2006/relationships/footer" Target="footer4.xml"/><Relationship Id="rId16" Type="http://schemas.openxmlformats.org/officeDocument/2006/relationships/header" Target="header3.xml"/><Relationship Id="rId17" Type="http://schemas.openxmlformats.org/officeDocument/2006/relationships/footer" Target="footer5.xml"/><Relationship Id="rId18" Type="http://schemas.openxmlformats.org/officeDocument/2006/relationships/header" Target="header4.xml"/><Relationship Id="rId19" Type="http://schemas.openxmlformats.org/officeDocument/2006/relationships/footer" Target="footer6.xml"/><Relationship Id="rId20" Type="http://schemas.openxmlformats.org/officeDocument/2006/relationships/header" Target="header5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parrot.us/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parrot.us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parrot.us/" TargetMode="External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hyperlink" Target="https://www.parrot.us/" TargetMode="External"/></Relationships>
</file>

<file path=word/_rels/footer5.xml.rels><?xml version='1.0' encoding='UTF-8' standalone='yes'?>
<Relationships xmlns="http://schemas.openxmlformats.org/package/2006/relationships"><Relationship Id="rId1" Type="http://schemas.openxmlformats.org/officeDocument/2006/relationships/hyperlink" Target="https://www.parrot.us/" TargetMode="External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hyperlink" Target="https://www.parrot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