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b/>
          <w:bCs/>
          <w:color w:val="1F3864"/>
          <w:sz w:val="44"/>
          <w:szCs w:val="44"/>
        </w:rPr>
        <w:t xml:space="preserve">DES-030</w:t>
      </w:r>
    </w:p>
    <w:p>
      <w:pPr>
        <w:spacing w:after="120"/>
        <w:jc w:val="center"/>
      </w:pPr>
      <w:r>
        <w:rPr>
          <w:b/>
          <w:bCs/>
          <w:color w:val="1F3864"/>
          <w:sz w:val="32"/>
          <w:szCs w:val="32"/>
        </w:rPr>
        <w:t xml:space="preserve">GUIDE DE DÉPLOIEMENT &amp; PROMOTION</w:t>
      </w:r>
    </w:p>
    <w:p>
      <w:pPr>
        <w:spacing w:after="480"/>
        <w:jc w:val="center"/>
      </w:pPr>
      <w:r>
        <w:rPr>
          <w:b/>
          <w:bCs/>
          <w:sz w:val="28"/>
          <w:szCs w:val="28"/>
        </w:rPr>
        <w:t xml:space="preserve">LstCutOff — OrchestrationDesCommandes</w:t>
      </w:r>
      <w:r>
        <w:rPr>
          <w:sz w:val="24"/>
          <w:szCs w:val="24"/>
        </w:rPr>
        <w:br/>
        <w:t xml:space="preserve">
EXT340MI-LstCutOff (XtendM3)</w:t>
      </w:r>
      <w:r>
        <w:rPr>
          <w:sz w:val="22"/>
          <w:szCs w:val="22"/>
        </w:rPr>
        <w:br/>
        <w:t xml:space="preserve">
Projet Lynx — CloudSuite M3 One ERP</w:t>
      </w:r>
    </w:p>
    <w:p>
      <w:pPr>
        <w:pStyle w:val="Heading1"/>
        <w:spacing w:after="180" w:before="360"/>
      </w:pPr>
      <w:r>
        <w:rPr>
          <w:b/>
          <w:bCs/>
          <w:sz w:val="32"/>
          <w:szCs w:val="32"/>
        </w:rPr>
        <w:t xml:space="preserve">1. CONTROLE DU DOCUMENT</w:t>
      </w:r>
    </w:p>
    <w:p>
      <w:pPr>
        <w:pStyle w:val="Heading2"/>
        <w:spacing w:after="120" w:before="240"/>
      </w:pPr>
      <w:r>
        <w:rPr>
          <w:b/>
          <w:bCs/>
          <w:sz w:val="26"/>
          <w:szCs w:val="26"/>
        </w:rPr>
        <w:t xml:space="preserve">1.1 Suivi des versions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900"/>
        <w:gridCol w:w="2200"/>
        <w:gridCol w:w="3526"/>
      </w:tblGrid>
      <w:tr>
        <w:trPr>
          <w:tblHeader/>
        </w:trPr>
        <w:tc>
          <w:tcPr>
            <w:tcW w:type="dxa" w:w="1400"/>
            <w:tcBorders>
              <w:top w:val="single" w:color="888888" w:sz="4"/>
              <w:left w:val="single" w:color="888888" w:sz="4"/>
              <w:bottom w:val="single" w:color="888888" w:sz="4"/>
              <w:right w:val="single" w:color="888888" w:sz="4"/>
            </w:tcBorders>
            <w:shd w:fill="D5E8F0" w:val="clear"/>
            <w:tcMar>
              <w:top w:type="dxa" w:w="100"/>
              <w:left w:type="dxa" w:w="140"/>
              <w:bottom w:type="dxa" w:w="100"/>
              <w:right w:type="dxa" w:w="140"/>
            </w:tcMar>
          </w:tcPr>
          <w:p>
            <w:r>
              <w:rPr>
                <w:b/>
                <w:bCs/>
              </w:rPr>
              <w:t xml:space="preserve">Version</w:t>
            </w:r>
          </w:p>
        </w:tc>
        <w:tc>
          <w:tcPr>
            <w:tcW w:type="dxa" w:w="1900"/>
            <w:tcBorders>
              <w:top w:val="single" w:color="888888" w:sz="4"/>
              <w:left w:val="single" w:color="888888" w:sz="4"/>
              <w:bottom w:val="single" w:color="888888" w:sz="4"/>
              <w:right w:val="single" w:color="888888" w:sz="4"/>
            </w:tcBorders>
            <w:shd w:fill="D5E8F0" w:val="clear"/>
            <w:tcMar>
              <w:top w:type="dxa" w:w="100"/>
              <w:left w:type="dxa" w:w="140"/>
              <w:bottom w:type="dxa" w:w="100"/>
              <w:right w:type="dxa" w:w="140"/>
            </w:tcMar>
          </w:tcPr>
          <w:p>
            <w:r>
              <w:rPr>
                <w:b/>
                <w:bCs/>
              </w:rPr>
              <w:t xml:space="preserve">Date</w:t>
            </w:r>
          </w:p>
        </w:tc>
        <w:tc>
          <w:tcPr>
            <w:tcW w:type="dxa" w:w="2200"/>
            <w:tcBorders>
              <w:top w:val="single" w:color="888888" w:sz="4"/>
              <w:left w:val="single" w:color="888888" w:sz="4"/>
              <w:bottom w:val="single" w:color="888888" w:sz="4"/>
              <w:right w:val="single" w:color="888888" w:sz="4"/>
            </w:tcBorders>
            <w:shd w:fill="D5E8F0" w:val="clear"/>
            <w:tcMar>
              <w:top w:type="dxa" w:w="100"/>
              <w:left w:type="dxa" w:w="140"/>
              <w:bottom w:type="dxa" w:w="100"/>
              <w:right w:type="dxa" w:w="140"/>
            </w:tcMar>
          </w:tcPr>
          <w:p>
            <w:r>
              <w:rPr>
                <w:b/>
                <w:bCs/>
              </w:rPr>
              <w:t xml:space="preserve">Author</w:t>
            </w:r>
          </w:p>
        </w:tc>
        <w:tc>
          <w:tcPr>
            <w:tcW w:type="dxa" w:w="3526"/>
            <w:tcBorders>
              <w:top w:val="single" w:color="888888" w:sz="4"/>
              <w:left w:val="single" w:color="888888" w:sz="4"/>
              <w:bottom w:val="single" w:color="888888" w:sz="4"/>
              <w:right w:val="single" w:color="888888" w:sz="4"/>
            </w:tcBorders>
            <w:shd w:fill="D5E8F0" w:val="clear"/>
            <w:tcMar>
              <w:top w:type="dxa" w:w="100"/>
              <w:left w:type="dxa" w:w="140"/>
              <w:bottom w:type="dxa" w:w="100"/>
              <w:right w:type="dxa" w:w="140"/>
            </w:tcMar>
          </w:tcPr>
          <w:p>
            <w:r>
              <w:rPr>
                <w:b/>
                <w:bCs/>
              </w:rPr>
              <w:t xml:space="preserve">Description of Change</w:t>
            </w:r>
          </w:p>
        </w:tc>
      </w:tr>
      <w:tr>
        <w:tc>
          <w:tcPr>
            <w:tcW w:type="dxa" w:w="1400"/>
            <w:tcBorders>
              <w:top w:val="single" w:color="888888" w:sz="4"/>
              <w:left w:val="single" w:color="888888" w:sz="4"/>
              <w:bottom w:val="single" w:color="888888" w:sz="4"/>
              <w:right w:val="single" w:color="888888" w:sz="4"/>
            </w:tcBorders>
            <w:tcMar>
              <w:top w:type="dxa" w:w="100"/>
              <w:left w:type="dxa" w:w="140"/>
              <w:bottom w:type="dxa" w:w="100"/>
              <w:right w:type="dxa" w:w="140"/>
            </w:tcMar>
          </w:tcPr>
          <w:p>
            <w:r>
              <w:t xml:space="preserve">1.0</w:t>
            </w:r>
          </w:p>
        </w:tc>
        <w:tc>
          <w:tcPr>
            <w:tcW w:type="dxa" w:w="1900"/>
            <w:tcBorders>
              <w:top w:val="single" w:color="888888" w:sz="4"/>
              <w:left w:val="single" w:color="888888" w:sz="4"/>
              <w:bottom w:val="single" w:color="888888" w:sz="4"/>
              <w:right w:val="single" w:color="888888" w:sz="4"/>
            </w:tcBorders>
            <w:tcMar>
              <w:top w:type="dxa" w:w="100"/>
              <w:left w:type="dxa" w:w="140"/>
              <w:bottom w:type="dxa" w:w="100"/>
              <w:right w:type="dxa" w:w="140"/>
            </w:tcMar>
          </w:tcPr>
          <w:p>
            <w:r>
              <w:t xml:space="preserve">28/05/2026</w:t>
            </w:r>
          </w:p>
        </w:tc>
        <w:tc>
          <w:tcPr>
            <w:tcW w:type="dxa" w:w="2200"/>
            <w:tcBorders>
              <w:top w:val="single" w:color="888888" w:sz="4"/>
              <w:left w:val="single" w:color="888888" w:sz="4"/>
              <w:bottom w:val="single" w:color="888888" w:sz="4"/>
              <w:right w:val="single" w:color="888888" w:sz="4"/>
            </w:tcBorders>
            <w:tcMar>
              <w:top w:type="dxa" w:w="100"/>
              <w:left w:type="dxa" w:w="140"/>
              <w:bottom w:type="dxa" w:w="100"/>
              <w:right w:type="dxa" w:w="140"/>
            </w:tcMar>
          </w:tcPr>
          <w:p>
            <w:r>
              <w:t xml:space="preserve">Motean Kenylen</w:t>
            </w:r>
          </w:p>
        </w:tc>
        <w:tc>
          <w:tcPr>
            <w:tcW w:type="dxa" w:w="3526"/>
            <w:tcBorders>
              <w:top w:val="single" w:color="888888" w:sz="4"/>
              <w:left w:val="single" w:color="888888" w:sz="4"/>
              <w:bottom w:val="single" w:color="888888" w:sz="4"/>
              <w:right w:val="single" w:color="888888" w:sz="4"/>
            </w:tcBorders>
            <w:tcMar>
              <w:top w:type="dxa" w:w="100"/>
              <w:left w:type="dxa" w:w="140"/>
              <w:bottom w:type="dxa" w:w="100"/>
              <w:right w:type="dxa" w:w="140"/>
            </w:tcMar>
          </w:tcPr>
          <w:p>
            <w:r>
              <w:t xml:space="preserve">Création initiale du document de déploiement et de promotion.</w:t>
            </w:r>
          </w:p>
        </w:tc>
      </w:tr>
    </w:tbl>
    <w:p>
      <w:r>
        <w:t xml:space="preserve"/>
      </w:r>
    </w:p>
    <w:p>
      <w:pPr>
        <w:pStyle w:val="Heading2"/>
        <w:spacing w:after="120" w:before="240"/>
      </w:pPr>
      <w:r>
        <w:rPr>
          <w:b/>
          <w:bCs/>
          <w:sz w:val="26"/>
          <w:szCs w:val="26"/>
        </w:rPr>
        <w:t xml:space="preserve">1.2 Relecture / Validation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tcBorders>
              <w:top w:val="single" w:color="888888" w:sz="4"/>
              <w:left w:val="single" w:color="888888" w:sz="4"/>
              <w:bottom w:val="single" w:color="888888" w:sz="4"/>
              <w:right w:val="single" w:color="888888" w:sz="4"/>
            </w:tcBorders>
            <w:shd w:fill="D5E8F0" w:val="clear"/>
            <w:tcMar>
              <w:top w:type="dxa" w:w="100"/>
              <w:left w:type="dxa" w:w="140"/>
              <w:bottom w:type="dxa" w:w="100"/>
              <w:right w:type="dxa" w:w="140"/>
            </w:tcMar>
          </w:tcPr>
          <w:p>
            <w:r>
              <w:rPr>
                <w:b/>
                <w:bCs/>
              </w:rPr>
              <w:t xml:space="preserve">Name</w:t>
            </w:r>
          </w:p>
        </w:tc>
        <w:tc>
          <w:tcPr>
            <w:tcW w:type="dxa" w:w="3000"/>
            <w:tcBorders>
              <w:top w:val="single" w:color="888888" w:sz="4"/>
              <w:left w:val="single" w:color="888888" w:sz="4"/>
              <w:bottom w:val="single" w:color="888888" w:sz="4"/>
              <w:right w:val="single" w:color="888888" w:sz="4"/>
            </w:tcBorders>
            <w:shd w:fill="D5E8F0" w:val="clear"/>
            <w:tcMar>
              <w:top w:type="dxa" w:w="100"/>
              <w:left w:type="dxa" w:w="140"/>
              <w:bottom w:type="dxa" w:w="100"/>
              <w:right w:type="dxa" w:w="140"/>
            </w:tcMar>
          </w:tcPr>
          <w:p>
            <w:r>
              <w:rPr>
                <w:b/>
                <w:bCs/>
              </w:rPr>
              <w:t xml:space="preserve">Position</w:t>
            </w:r>
          </w:p>
        </w:tc>
        <w:tc>
          <w:tcPr>
            <w:tcW w:type="dxa" w:w="3026"/>
            <w:tcBorders>
              <w:top w:val="single" w:color="888888" w:sz="4"/>
              <w:left w:val="single" w:color="888888" w:sz="4"/>
              <w:bottom w:val="single" w:color="888888" w:sz="4"/>
              <w:right w:val="single" w:color="888888" w:sz="4"/>
            </w:tcBorders>
            <w:shd w:fill="D5E8F0" w:val="clear"/>
            <w:tcMar>
              <w:top w:type="dxa" w:w="100"/>
              <w:left w:type="dxa" w:w="140"/>
              <w:bottom w:type="dxa" w:w="100"/>
              <w:right w:type="dxa" w:w="140"/>
            </w:tcMar>
          </w:tcPr>
          <w:p>
            <w:r>
              <w:rPr>
                <w:b/>
                <w:bCs/>
              </w:rPr>
              <w:t xml:space="preserve">Role</w:t>
            </w:r>
          </w:p>
        </w:tc>
      </w:tr>
      <w:tr>
        <w:tc>
          <w:tcPr>
            <w:tcW w:type="dxa" w:w="3000"/>
            <w:tcBorders>
              <w:top w:val="single" w:color="888888" w:sz="4"/>
              <w:left w:val="single" w:color="888888" w:sz="4"/>
              <w:bottom w:val="single" w:color="888888" w:sz="4"/>
              <w:right w:val="single" w:color="888888" w:sz="4"/>
            </w:tcBorders>
            <w:tcMar>
              <w:top w:type="dxa" w:w="100"/>
              <w:left w:type="dxa" w:w="140"/>
              <w:bottom w:type="dxa" w:w="100"/>
              <w:right w:type="dxa" w:w="140"/>
            </w:tcMar>
          </w:tcPr>
          <w:p>
            <w:r>
              <w:t xml:space="preserve">À déterminer</w:t>
            </w:r>
          </w:p>
        </w:tc>
        <w:tc>
          <w:tcPr>
            <w:tcW w:type="dxa" w:w="3000"/>
            <w:tcBorders>
              <w:top w:val="single" w:color="888888" w:sz="4"/>
              <w:left w:val="single" w:color="888888" w:sz="4"/>
              <w:bottom w:val="single" w:color="888888" w:sz="4"/>
              <w:right w:val="single" w:color="888888" w:sz="4"/>
            </w:tcBorders>
            <w:tcMar>
              <w:top w:type="dxa" w:w="100"/>
              <w:left w:type="dxa" w:w="140"/>
              <w:bottom w:type="dxa" w:w="100"/>
              <w:right w:type="dxa" w:w="140"/>
            </w:tcMar>
          </w:tcPr>
          <w:p>
            <w:r>
              <w:t xml:space="preserve">Architecte M3</w:t>
            </w:r>
          </w:p>
        </w:tc>
        <w:tc>
          <w:tcPr>
            <w:tcW w:type="dxa" w:w="3026"/>
            <w:tcBorders>
              <w:top w:val="single" w:color="888888" w:sz="4"/>
              <w:left w:val="single" w:color="888888" w:sz="4"/>
              <w:bottom w:val="single" w:color="888888" w:sz="4"/>
              <w:right w:val="single" w:color="888888" w:sz="4"/>
            </w:tcBorders>
            <w:tcMar>
              <w:top w:type="dxa" w:w="100"/>
              <w:left w:type="dxa" w:w="140"/>
              <w:bottom w:type="dxa" w:w="100"/>
              <w:right w:type="dxa" w:w="140"/>
            </w:tcMar>
          </w:tcPr>
          <w:p>
            <w:r>
              <w:t xml:space="preserve">Reviewer</w:t>
            </w:r>
          </w:p>
        </w:tc>
      </w:tr>
      <w:tr>
        <w:tc>
          <w:tcPr>
            <w:tcW w:type="dxa" w:w="3000"/>
            <w:tcBorders>
              <w:top w:val="single" w:color="888888" w:sz="4"/>
              <w:left w:val="single" w:color="888888" w:sz="4"/>
              <w:bottom w:val="single" w:color="888888" w:sz="4"/>
              <w:right w:val="single" w:color="888888" w:sz="4"/>
            </w:tcBorders>
            <w:tcMar>
              <w:top w:type="dxa" w:w="100"/>
              <w:left w:type="dxa" w:w="140"/>
              <w:bottom w:type="dxa" w:w="100"/>
              <w:right w:type="dxa" w:w="140"/>
            </w:tcMar>
          </w:tcPr>
          <w:p>
            <w:r>
              <w:t xml:space="preserve">À déterminer</w:t>
            </w:r>
          </w:p>
        </w:tc>
        <w:tc>
          <w:tcPr>
            <w:tcW w:type="dxa" w:w="3000"/>
            <w:tcBorders>
              <w:top w:val="single" w:color="888888" w:sz="4"/>
              <w:left w:val="single" w:color="888888" w:sz="4"/>
              <w:bottom w:val="single" w:color="888888" w:sz="4"/>
              <w:right w:val="single" w:color="888888" w:sz="4"/>
            </w:tcBorders>
            <w:tcMar>
              <w:top w:type="dxa" w:w="100"/>
              <w:left w:type="dxa" w:w="140"/>
              <w:bottom w:type="dxa" w:w="100"/>
              <w:right w:type="dxa" w:w="140"/>
            </w:tcMar>
          </w:tcPr>
          <w:p>
            <w:r>
              <w:t xml:space="preserve">Chef de projet</w:t>
            </w:r>
          </w:p>
        </w:tc>
        <w:tc>
          <w:tcPr>
            <w:tcW w:type="dxa" w:w="3026"/>
            <w:tcBorders>
              <w:top w:val="single" w:color="888888" w:sz="4"/>
              <w:left w:val="single" w:color="888888" w:sz="4"/>
              <w:bottom w:val="single" w:color="888888" w:sz="4"/>
              <w:right w:val="single" w:color="888888" w:sz="4"/>
            </w:tcBorders>
            <w:tcMar>
              <w:top w:type="dxa" w:w="100"/>
              <w:left w:type="dxa" w:w="140"/>
              <w:bottom w:type="dxa" w:w="100"/>
              <w:right w:type="dxa" w:w="140"/>
            </w:tcMar>
          </w:tcPr>
          <w:p>
            <w:r>
              <w:t xml:space="preserve">Approver</w:t>
            </w:r>
          </w:p>
        </w:tc>
      </w:tr>
    </w:tbl>
    <w:p>
      <w:r>
        <w:t xml:space="preserve"/>
      </w:r>
    </w:p>
    <w:p>
      <w:pPr>
        <w:pStyle w:val="Heading1"/>
        <w:spacing w:after="180" w:before="360"/>
      </w:pPr>
      <w:r>
        <w:rPr>
          <w:b/>
          <w:bCs/>
          <w:sz w:val="32"/>
          <w:szCs w:val="32"/>
        </w:rPr>
        <w:t xml:space="preserve">2. INTRODUCTION &amp; OBJECTIF</w:t>
      </w:r>
    </w:p>
    <w:p>
      <w:pPr>
        <w:spacing w:after="120"/>
      </w:pPr>
      <w:r>
        <w:t xml:space="preserve">Ce document décrit la procédure de déploiement de l'interface LstCutOff (OrchestrationDesCommandes) — implémentée sous forme d'une transaction XtendM3 EXT340MI-LstCutOff — depuis l'environnement de DEV vers les environnements TEST puis PROD dans le cadre du projet Lynx.</w:t>
      </w:r>
    </w:p>
    <w:p>
      <w:pPr>
        <w:spacing w:after="120"/>
      </w:pPr>
      <w:r>
        <w:t xml:space="preserve">L'API EXT340MI-LstCutOff a pour rôle d'orchestrer les commandes en retournant, pour un client donné, la disponibilité de stock, les tournées triées par ordre de pertinence, ainsi que les prix et remises associés aux articles. Toutes les informations sont récupérées depuis M3.</w:t>
      </w:r>
    </w:p>
    <w:p>
      <w:pPr>
        <w:spacing w:after="120"/>
      </w:pPr>
      <w:r>
        <w:t xml:space="preserve">Le présent guide contient les étapes chronologiques nécessaires à l'importation, l'activation, la validation et la promotion du composant. Il définit également les procédures de rollback en cas d'échec.</w:t>
      </w:r>
    </w:p>
    <w:p>
      <w:pPr>
        <w:pStyle w:val="Heading1"/>
        <w:spacing w:after="180" w:before="360"/>
      </w:pPr>
      <w:r>
        <w:rPr>
          <w:b/>
          <w:bCs/>
          <w:sz w:val="32"/>
          <w:szCs w:val="32"/>
        </w:rPr>
        <w:t xml:space="preserve">3. PREREQUIS ET DEPENDANCES SYSTEME</w:t>
      </w:r>
    </w:p>
    <w:p>
      <w:pPr>
        <w:spacing w:after="120"/>
      </w:pPr>
      <w:r>
        <w:t xml:space="preserve">Avant tout déploiement, vérifier les prérequis suivants :</w:t>
      </w:r>
    </w:p>
    <w:p>
      <w:pPr>
        <w:pStyle w:val="ListParagraph"/>
        <w:numPr>
          <w:ilvl w:val="0"/>
          <w:numId w:val="2"/>
        </w:numPr>
        <w:spacing w:after="80"/>
      </w:pPr>
      <w:r>
        <w:t xml:space="preserve">Accès administrateur à l'environnement M3 cible (TEST puis PROD).</w:t>
      </w:r>
    </w:p>
    <w:p>
      <w:pPr>
        <w:pStyle w:val="ListParagraph"/>
        <w:numPr>
          <w:ilvl w:val="0"/>
          <w:numId w:val="2"/>
        </w:numPr>
        <w:spacing w:after="80"/>
      </w:pPr>
      <w:r>
        <w:t xml:space="preserve">Accès aux Outils d'administration &gt; XtendM3 dans M3 H5.</w:t>
      </w:r>
    </w:p>
    <w:p>
      <w:pPr>
        <w:pStyle w:val="ListParagraph"/>
        <w:numPr>
          <w:ilvl w:val="0"/>
          <w:numId w:val="2"/>
        </w:numPr>
        <w:spacing w:after="80"/>
      </w:pPr>
      <w:r>
        <w:t xml:space="preserve">Droits d'écriture sur la table des transactions XtendM3.</w:t>
      </w:r>
    </w:p>
    <w:p>
      <w:pPr>
        <w:pStyle w:val="ListParagraph"/>
        <w:numPr>
          <w:ilvl w:val="0"/>
          <w:numId w:val="2"/>
        </w:numPr>
        <w:spacing w:after="80"/>
      </w:pPr>
      <w:r>
        <w:t xml:space="preserve">Validation préalable de l'interface en environnement de DEV (cf. DES-020 LstCutOff v1).</w:t>
      </w:r>
    </w:p>
    <w:p>
      <w:pPr>
        <w:pStyle w:val="ListParagraph"/>
        <w:numPr>
          <w:ilvl w:val="0"/>
          <w:numId w:val="2"/>
        </w:numPr>
        <w:spacing w:after="80"/>
      </w:pPr>
      <w:r>
        <w:t xml:space="preserve">Disponibilité de l'API EXT340MI dans l'environnement cible.</w:t>
      </w:r>
    </w:p>
    <w:p>
      <w:pPr>
        <w:spacing w:after="120"/>
      </w:pPr>
      <w:r>
        <w:t xml:space="preserve">Dépendances applicatives :</w:t>
      </w:r>
    </w:p>
    <w:p>
      <w:pPr>
        <w:pStyle w:val="ListParagraph"/>
        <w:numPr>
          <w:ilvl w:val="0"/>
          <w:numId w:val="2"/>
        </w:numPr>
        <w:spacing w:after="80"/>
      </w:pPr>
      <w:r>
        <w:t xml:space="preserve">Tables M3 référencées : OCUSMA (clients), DRS011 (routes), RODN (tournées), OOLINE / OOHEAD (commandes).</w:t>
      </w:r>
    </w:p>
    <w:p>
      <w:pPr>
        <w:pStyle w:val="ListParagraph"/>
        <w:numPr>
          <w:ilvl w:val="0"/>
          <w:numId w:val="2"/>
        </w:numPr>
        <w:spacing w:after="80"/>
      </w:pPr>
      <w:r>
        <w:t xml:space="preserve">Programmes M3 : OIS100 (client), MMS200 (article), DRS010 (route).</w:t>
      </w:r>
    </w:p>
    <w:p>
      <w:pPr>
        <w:spacing w:after="120"/>
      </w:pPr>
      <w:r>
        <w:t xml:space="preserve">Ce flux est une API XtendM3 synchrone : aucune souscription Event Hub n'est requise, et aucune vérification CMS042 / CMS045 n'est applicable.</w:t>
      </w:r>
    </w:p>
    <w:p>
      <w:pPr>
        <w:pStyle w:val="Heading1"/>
        <w:spacing w:after="180" w:before="360"/>
      </w:pPr>
      <w:r>
        <w:rPr>
          <w:b/>
          <w:bCs/>
          <w:sz w:val="32"/>
          <w:szCs w:val="32"/>
        </w:rPr>
        <w:t xml:space="preserve">4. OBJETS LIVRABLES ET EXTENSIONS</w:t>
      </w:r>
    </w:p>
    <w:p>
      <w:pPr>
        <w:spacing w:after="120"/>
      </w:pPr>
      <w:r>
        <w:t xml:space="preserve">Le tableau ci-dessous liste l'ensemble des composants physiques à promouvoir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1500"/>
        <w:gridCol w:w="2726"/>
      </w:tblGrid>
      <w:tr>
        <w:trPr>
          <w:tblHeader/>
        </w:trPr>
        <w:tc>
          <w:tcPr>
            <w:tcW w:type="dxa" w:w="3200"/>
            <w:tcBorders>
              <w:top w:val="single" w:color="888888" w:sz="4"/>
              <w:left w:val="single" w:color="888888" w:sz="4"/>
              <w:bottom w:val="single" w:color="888888" w:sz="4"/>
              <w:right w:val="single" w:color="888888" w:sz="4"/>
            </w:tcBorders>
            <w:shd w:fill="D5E8F0" w:val="clear"/>
            <w:tcMar>
              <w:top w:type="dxa" w:w="100"/>
              <w:left w:type="dxa" w:w="140"/>
              <w:bottom w:type="dxa" w:w="100"/>
              <w:right w:type="dxa" w:w="140"/>
            </w:tcMar>
          </w:tcPr>
          <w:p>
            <w:r>
              <w:rPr>
                <w:b/>
                <w:bCs/>
              </w:rPr>
              <w:t xml:space="preserve">Extension / Object name</w:t>
            </w:r>
          </w:p>
        </w:tc>
        <w:tc>
          <w:tcPr>
            <w:tcW w:type="dxa" w:w="1600"/>
            <w:tcBorders>
              <w:top w:val="single" w:color="888888" w:sz="4"/>
              <w:left w:val="single" w:color="888888" w:sz="4"/>
              <w:bottom w:val="single" w:color="888888" w:sz="4"/>
              <w:right w:val="single" w:color="888888" w:sz="4"/>
            </w:tcBorders>
            <w:shd w:fill="D5E8F0" w:val="clear"/>
            <w:tcMar>
              <w:top w:type="dxa" w:w="100"/>
              <w:left w:type="dxa" w:w="140"/>
              <w:bottom w:type="dxa" w:w="100"/>
              <w:right w:type="dxa" w:w="140"/>
            </w:tcMar>
          </w:tcPr>
          <w:p>
            <w:r>
              <w:rPr>
                <w:b/>
                <w:bCs/>
              </w:rPr>
              <w:t xml:space="preserve">New / Modified</w:t>
            </w:r>
          </w:p>
        </w:tc>
        <w:tc>
          <w:tcPr>
            <w:tcW w:type="dxa" w:w="1500"/>
            <w:tcBorders>
              <w:top w:val="single" w:color="888888" w:sz="4"/>
              <w:left w:val="single" w:color="888888" w:sz="4"/>
              <w:bottom w:val="single" w:color="888888" w:sz="4"/>
              <w:right w:val="single" w:color="888888" w:sz="4"/>
            </w:tcBorders>
            <w:shd w:fill="D5E8F0" w:val="clear"/>
            <w:tcMar>
              <w:top w:type="dxa" w:w="100"/>
              <w:left w:type="dxa" w:w="140"/>
              <w:bottom w:type="dxa" w:w="100"/>
              <w:right w:type="dxa" w:w="140"/>
            </w:tcMar>
          </w:tcPr>
          <w:p>
            <w:r>
              <w:rPr>
                <w:b/>
                <w:bCs/>
              </w:rPr>
              <w:t xml:space="preserve">Type</w:t>
            </w:r>
          </w:p>
        </w:tc>
        <w:tc>
          <w:tcPr>
            <w:tcW w:type="dxa" w:w="2726"/>
            <w:tcBorders>
              <w:top w:val="single" w:color="888888" w:sz="4"/>
              <w:left w:val="single" w:color="888888" w:sz="4"/>
              <w:bottom w:val="single" w:color="888888" w:sz="4"/>
              <w:right w:val="single" w:color="888888" w:sz="4"/>
            </w:tcBorders>
            <w:shd w:fill="D5E8F0" w:val="clear"/>
            <w:tcMar>
              <w:top w:type="dxa" w:w="100"/>
              <w:left w:type="dxa" w:w="140"/>
              <w:bottom w:type="dxa" w:w="100"/>
              <w:right w:type="dxa" w:w="140"/>
            </w:tcMar>
          </w:tcPr>
          <w:p>
            <w:r>
              <w:rPr>
                <w:b/>
                <w:bCs/>
              </w:rPr>
              <w:t xml:space="preserve">Comments</w:t>
            </w:r>
          </w:p>
        </w:tc>
      </w:tr>
      <w:tr>
        <w:tc>
          <w:tcPr>
            <w:tcW w:type="dxa" w:w="3200"/>
            <w:tcBorders>
              <w:top w:val="single" w:color="888888" w:sz="4"/>
              <w:left w:val="single" w:color="888888" w:sz="4"/>
              <w:bottom w:val="single" w:color="888888" w:sz="4"/>
              <w:right w:val="single" w:color="888888" w:sz="4"/>
            </w:tcBorders>
            <w:tcMar>
              <w:top w:type="dxa" w:w="100"/>
              <w:left w:type="dxa" w:w="140"/>
              <w:bottom w:type="dxa" w:w="100"/>
              <w:right w:type="dxa" w:w="140"/>
            </w:tcMar>
          </w:tcPr>
          <w:p>
            <w:r>
              <w:t xml:space="preserve">TRANSACTION-EXT340MI-LstCutOff.json</w:t>
            </w:r>
          </w:p>
        </w:tc>
        <w:tc>
          <w:tcPr>
            <w:tcW w:type="dxa" w:w="1600"/>
            <w:tcBorders>
              <w:top w:val="single" w:color="888888" w:sz="4"/>
              <w:left w:val="single" w:color="888888" w:sz="4"/>
              <w:bottom w:val="single" w:color="888888" w:sz="4"/>
              <w:right w:val="single" w:color="888888" w:sz="4"/>
            </w:tcBorders>
            <w:tcMar>
              <w:top w:type="dxa" w:w="100"/>
              <w:left w:type="dxa" w:w="140"/>
              <w:bottom w:type="dxa" w:w="100"/>
              <w:right w:type="dxa" w:w="140"/>
            </w:tcMar>
          </w:tcPr>
          <w:p>
            <w:r>
              <w:t xml:space="preserve">New</w:t>
            </w:r>
          </w:p>
        </w:tc>
        <w:tc>
          <w:tcPr>
            <w:tcW w:type="dxa" w:w="1500"/>
            <w:tcBorders>
              <w:top w:val="single" w:color="888888" w:sz="4"/>
              <w:left w:val="single" w:color="888888" w:sz="4"/>
              <w:bottom w:val="single" w:color="888888" w:sz="4"/>
              <w:right w:val="single" w:color="888888" w:sz="4"/>
            </w:tcBorders>
            <w:tcMar>
              <w:top w:type="dxa" w:w="100"/>
              <w:left w:type="dxa" w:w="140"/>
              <w:bottom w:type="dxa" w:w="100"/>
              <w:right w:type="dxa" w:w="140"/>
            </w:tcMar>
          </w:tcPr>
          <w:p>
            <w:r>
              <w:t xml:space="preserve">XtendM3 Transaction</w:t>
            </w:r>
          </w:p>
        </w:tc>
        <w:tc>
          <w:tcPr>
            <w:tcW w:type="dxa" w:w="2726"/>
            <w:tcBorders>
              <w:top w:val="single" w:color="888888" w:sz="4"/>
              <w:left w:val="single" w:color="888888" w:sz="4"/>
              <w:bottom w:val="single" w:color="888888" w:sz="4"/>
              <w:right w:val="single" w:color="888888" w:sz="4"/>
            </w:tcBorders>
            <w:tcMar>
              <w:top w:type="dxa" w:w="100"/>
              <w:left w:type="dxa" w:w="140"/>
              <w:bottom w:type="dxa" w:w="100"/>
              <w:right w:type="dxa" w:w="140"/>
            </w:tcMar>
          </w:tcPr>
          <w:p>
            <w:r>
              <w:t xml:space="preserve">API XtendM3 exposée sur EXT340MI.</w:t>
            </w:r>
          </w:p>
        </w:tc>
      </w:tr>
    </w:tbl>
    <w:p>
      <w:r>
        <w:t xml:space="preserve"/>
      </w:r>
    </w:p>
    <w:p>
      <w:pPr>
        <w:pStyle w:val="Heading1"/>
        <w:spacing w:after="180" w:before="360"/>
      </w:pPr>
      <w:r>
        <w:rPr>
          <w:b/>
          <w:bCs/>
          <w:sz w:val="32"/>
          <w:szCs w:val="32"/>
        </w:rPr>
        <w:t xml:space="preserve">5. INSTRUCTIONS DE DEPLOIEMENT ET D'INSTALLATION</w:t>
      </w:r>
    </w:p>
    <w:p>
      <w:pPr>
        <w:spacing w:after="120"/>
      </w:pPr>
      <w:r>
        <w:t xml:space="preserve">Le déploiement de cette interface est de classe B (Pure XtendM3). Suivre les étapes chronologiques ci-dessous dans l'environnement cible.</w:t>
      </w:r>
    </w:p>
    <w:p>
      <w:pPr>
        <w:pStyle w:val="Heading2"/>
        <w:spacing w:after="120" w:before="240"/>
      </w:pPr>
      <w:r>
        <w:rPr>
          <w:b/>
          <w:bCs/>
          <w:sz w:val="26"/>
          <w:szCs w:val="26"/>
        </w:rPr>
        <w:t xml:space="preserve">5.1 Import de la transaction XtendM3</w:t>
      </w:r>
    </w:p>
    <w:p>
      <w:pPr>
        <w:pStyle w:val="ListParagraph"/>
        <w:numPr>
          <w:ilvl w:val="0"/>
          <w:numId w:val="3"/>
        </w:numPr>
        <w:spacing w:after="80"/>
      </w:pPr>
      <w:r>
        <w:t xml:space="preserve">Se connecter à M3 H5 dans l'environnement cible avec un compte administrateur.</w:t>
      </w:r>
    </w:p>
    <w:p>
      <w:pPr>
        <w:pStyle w:val="ListParagraph"/>
        <w:numPr>
          <w:ilvl w:val="0"/>
          <w:numId w:val="3"/>
        </w:numPr>
        <w:spacing w:after="80"/>
      </w:pPr>
      <w:r>
        <w:t xml:space="preserve">Naviguer vers : Outils d'administration &gt; XtendM3.</w:t>
      </w:r>
    </w:p>
    <w:p>
      <w:pPr>
        <w:pStyle w:val="ListParagraph"/>
        <w:numPr>
          <w:ilvl w:val="0"/>
          <w:numId w:val="3"/>
        </w:numPr>
        <w:spacing w:after="80"/>
      </w:pPr>
      <w:r>
        <w:t xml:space="preserve">Cliquer sur le bouton Importer.</w:t>
      </w:r>
    </w:p>
    <w:p>
      <w:pPr>
        <w:pStyle w:val="ListParagraph"/>
        <w:numPr>
          <w:ilvl w:val="0"/>
          <w:numId w:val="3"/>
        </w:numPr>
        <w:spacing w:after="80"/>
      </w:pPr>
      <w:r>
        <w:t xml:space="preserve">Localiser le fichier livrable TRANSACTION-EXT340MI-LstCutOff.json fourni dans le pack de livraison.</w:t>
      </w:r>
    </w:p>
    <w:p>
      <w:pPr>
        <w:pStyle w:val="ListParagraph"/>
        <w:numPr>
          <w:ilvl w:val="0"/>
          <w:numId w:val="3"/>
        </w:numPr>
        <w:spacing w:after="80"/>
      </w:pPr>
      <w:r>
        <w:t xml:space="preserve">Cliquer sur Import.</w:t>
      </w:r>
    </w:p>
    <w:p>
      <w:pPr>
        <w:pStyle w:val="ListParagraph"/>
        <w:numPr>
          <w:ilvl w:val="0"/>
          <w:numId w:val="3"/>
        </w:numPr>
        <w:spacing w:after="80"/>
      </w:pPr>
      <w:r>
        <w:t xml:space="preserve">Confirmer l'import en cliquant sur Importer dans le message d'avertissement.</w:t>
      </w:r>
    </w:p>
    <w:p>
      <w:pPr>
        <w:pStyle w:val="Heading2"/>
        <w:spacing w:after="120" w:before="240"/>
      </w:pPr>
      <w:r>
        <w:rPr>
          <w:b/>
          <w:bCs/>
          <w:sz w:val="26"/>
          <w:szCs w:val="26"/>
        </w:rPr>
        <w:t xml:space="preserve">5.2 Activation de la transaction</w:t>
      </w:r>
    </w:p>
    <w:p>
      <w:pPr>
        <w:pStyle w:val="ListParagraph"/>
        <w:numPr>
          <w:ilvl w:val="0"/>
          <w:numId w:val="3"/>
        </w:numPr>
        <w:spacing w:after="80"/>
      </w:pPr>
      <w:r>
        <w:t xml:space="preserve">Ouvrir la transaction nouvellement importée dans la liste XtendM3.</w:t>
      </w:r>
    </w:p>
    <w:p>
      <w:pPr>
        <w:pStyle w:val="ListParagraph"/>
        <w:numPr>
          <w:ilvl w:val="0"/>
          <w:numId w:val="3"/>
        </w:numPr>
        <w:spacing w:after="80"/>
      </w:pPr>
      <w:r>
        <w:t xml:space="preserve">Aller dans l'onglet Settings.</w:t>
      </w:r>
    </w:p>
    <w:p>
      <w:pPr>
        <w:pStyle w:val="ListParagraph"/>
        <w:numPr>
          <w:ilvl w:val="0"/>
          <w:numId w:val="3"/>
        </w:numPr>
        <w:spacing w:after="80"/>
      </w:pPr>
      <w:r>
        <w:t xml:space="preserve">Activer le contrôle Active.</w:t>
      </w:r>
    </w:p>
    <w:p>
      <w:pPr>
        <w:pStyle w:val="ListParagraph"/>
        <w:numPr>
          <w:ilvl w:val="0"/>
          <w:numId w:val="3"/>
        </w:numPr>
        <w:spacing w:after="80"/>
      </w:pPr>
      <w:r>
        <w:t xml:space="preserve">Cliquer sur Save pour persister l'activation.</w:t>
      </w:r>
    </w:p>
    <w:p>
      <w:pPr>
        <w:pStyle w:val="Heading2"/>
        <w:spacing w:after="120" w:before="240"/>
      </w:pPr>
      <w:r>
        <w:rPr>
          <w:b/>
          <w:bCs/>
          <w:sz w:val="26"/>
          <w:szCs w:val="26"/>
        </w:rPr>
        <w:t xml:space="preserve">5.3 Vérification de la compilation</w:t>
      </w:r>
    </w:p>
    <w:p>
      <w:pPr>
        <w:pStyle w:val="ListParagraph"/>
        <w:numPr>
          <w:ilvl w:val="0"/>
          <w:numId w:val="3"/>
        </w:numPr>
        <w:spacing w:after="80"/>
      </w:pPr>
      <w:r>
        <w:t xml:space="preserve">Vérifier que le statut de la transaction est passé à Active dans la liste XtendM3.</w:t>
      </w:r>
    </w:p>
    <w:p>
      <w:pPr>
        <w:pStyle w:val="ListParagraph"/>
        <w:numPr>
          <w:ilvl w:val="0"/>
          <w:numId w:val="3"/>
        </w:numPr>
        <w:spacing w:after="80"/>
      </w:pPr>
      <w:r>
        <w:t xml:space="preserve">Contrôler l'absence d'erreurs de compilation dans les logs XtendM3.</w:t>
      </w:r>
    </w:p>
    <w:p>
      <w:pPr>
        <w:pStyle w:val="ListParagraph"/>
        <w:numPr>
          <w:ilvl w:val="0"/>
          <w:numId w:val="3"/>
        </w:numPr>
        <w:spacing w:after="80"/>
      </w:pPr>
      <w:r>
        <w:t xml:space="preserve">Si une erreur de compilation est remontée, consulter le détail dans la console XtendM3 et corriger avant de poursuivre.</w:t>
      </w:r>
    </w:p>
    <w:p>
      <w:pPr>
        <w:pStyle w:val="Heading1"/>
        <w:spacing w:after="180" w:before="360"/>
      </w:pPr>
      <w:r>
        <w:rPr>
          <w:b/>
          <w:bCs/>
          <w:sz w:val="32"/>
          <w:szCs w:val="32"/>
        </w:rPr>
        <w:t xml:space="preserve">6. VALIDATION &amp; TESTS POST-DEPLOYMENT</w:t>
      </w:r>
    </w:p>
    <w:p>
      <w:pPr>
        <w:spacing w:after="120"/>
      </w:pPr>
      <w:r>
        <w:t xml:space="preserve">Après le déploiement, exécuter les tests fonctionnels suivants pour valider la mise en service :</w:t>
      </w:r>
    </w:p>
    <w:p>
      <w:pPr>
        <w:pStyle w:val="Heading2"/>
        <w:spacing w:after="120" w:before="240"/>
      </w:pPr>
      <w:r>
        <w:rPr>
          <w:b/>
          <w:bCs/>
          <w:sz w:val="26"/>
          <w:szCs w:val="26"/>
        </w:rPr>
        <w:t xml:space="preserve">6.1 Test de l'API avec un payload nominal</w:t>
      </w:r>
    </w:p>
    <w:p>
      <w:pPr>
        <w:pStyle w:val="ListParagraph"/>
        <w:numPr>
          <w:ilvl w:val="0"/>
          <w:numId w:val="3"/>
        </w:numPr>
        <w:spacing w:after="80"/>
      </w:pPr>
      <w:r>
        <w:t xml:space="preserve">Invoquer l'API EXT340MI-LstCutOff via Postman ou l'outil de test M3 avec les paramètres suivants : CONO, DIVI, CUNO d'un client de test connu et actif (statut=20).</w:t>
      </w:r>
    </w:p>
    <w:p>
      <w:pPr>
        <w:pStyle w:val="ListParagraph"/>
        <w:numPr>
          <w:ilvl w:val="0"/>
          <w:numId w:val="3"/>
        </w:numPr>
        <w:spacing w:after="80"/>
      </w:pPr>
      <w:r>
        <w:t xml:space="preserve">Vérifier le code retour HTTP 200.</w:t>
      </w:r>
    </w:p>
    <w:p>
      <w:pPr>
        <w:pStyle w:val="ListParagraph"/>
        <w:numPr>
          <w:ilvl w:val="0"/>
          <w:numId w:val="3"/>
        </w:numPr>
        <w:spacing w:after="80"/>
      </w:pPr>
      <w:r>
        <w:t xml:space="preserve">Vérifier la présence dans la réponse : tournées disponibles (P01–P05+), dates de livraison calculées, articles avec disponibilité de stock, prix et remises.</w:t>
      </w:r>
    </w:p>
    <w:p>
      <w:pPr>
        <w:pStyle w:val="Heading2"/>
        <w:spacing w:after="120" w:before="240"/>
      </w:pPr>
      <w:r>
        <w:rPr>
          <w:b/>
          <w:bCs/>
          <w:sz w:val="26"/>
          <w:szCs w:val="26"/>
        </w:rPr>
        <w:t xml:space="preserve">6.2 Test des cas d'erreur</w:t>
      </w:r>
    </w:p>
    <w:p>
      <w:pPr>
        <w:pStyle w:val="ListParagraph"/>
        <w:numPr>
          <w:ilvl w:val="0"/>
          <w:numId w:val="3"/>
        </w:numPr>
        <w:spacing w:after="80"/>
      </w:pPr>
      <w:r>
        <w:t xml:space="preserve">Invoquer l'API avec un CUNO inexistant — attendre un retour d'erreur métier explicite.</w:t>
      </w:r>
    </w:p>
    <w:p>
      <w:pPr>
        <w:pStyle w:val="ListParagraph"/>
        <w:numPr>
          <w:ilvl w:val="0"/>
          <w:numId w:val="3"/>
        </w:numPr>
        <w:spacing w:after="80"/>
      </w:pPr>
      <w:r>
        <w:t xml:space="preserve">Invoquer l'API avec un client en statut différent de 20 — attendre un rejet contrôlé.</w:t>
      </w:r>
    </w:p>
    <w:p>
      <w:pPr>
        <w:pStyle w:val="ListParagraph"/>
        <w:numPr>
          <w:ilvl w:val="0"/>
          <w:numId w:val="3"/>
        </w:numPr>
        <w:spacing w:after="80"/>
      </w:pPr>
      <w:r>
        <w:t xml:space="preserve">Invoquer l'API sans le dépôt principal du client (OKWHLO) — attendre la prise en compte du dépôt par défaut.</w:t>
      </w:r>
    </w:p>
    <w:p>
      <w:pPr>
        <w:pStyle w:val="Heading2"/>
        <w:spacing w:after="120" w:before="240"/>
      </w:pPr>
      <w:r>
        <w:rPr>
          <w:b/>
          <w:bCs/>
          <w:sz w:val="26"/>
          <w:szCs w:val="26"/>
        </w:rPr>
        <w:t xml:space="preserve">6.3 Validation par le métier</w:t>
      </w:r>
    </w:p>
    <w:p>
      <w:pPr>
        <w:pStyle w:val="ListParagraph"/>
        <w:numPr>
          <w:ilvl w:val="0"/>
          <w:numId w:val="3"/>
        </w:numPr>
        <w:spacing w:after="80"/>
      </w:pPr>
      <w:r>
        <w:t xml:space="preserve">Faire valider le résultat par le référent métier OrchestrationDesCommandes du projet Lynx.</w:t>
      </w:r>
    </w:p>
    <w:p>
      <w:pPr>
        <w:pStyle w:val="ListParagraph"/>
        <w:numPr>
          <w:ilvl w:val="0"/>
          <w:numId w:val="3"/>
        </w:numPr>
        <w:spacing w:after="80"/>
      </w:pPr>
      <w:r>
        <w:t xml:space="preserve">Documenter le PV de recette dans l'espace SharePoint du projet.</w:t>
      </w:r>
    </w:p>
    <w:p>
      <w:pPr>
        <w:pStyle w:val="Heading1"/>
        <w:spacing w:after="180" w:before="360"/>
      </w:pPr>
      <w:r>
        <w:rPr>
          <w:b/>
          <w:bCs/>
          <w:sz w:val="32"/>
          <w:szCs w:val="32"/>
        </w:rPr>
        <w:t xml:space="preserve">7. PROCESSUS DE PROMOTION</w:t>
      </w:r>
    </w:p>
    <w:p>
      <w:pPr>
        <w:spacing w:after="120"/>
      </w:pPr>
      <w:r>
        <w:t xml:space="preserve">La promotion de cette interface suit le flux standard DEV → TEST → PROD avec validation à chaque palier :</w:t>
      </w:r>
    </w:p>
    <w:p>
      <w:pPr>
        <w:pStyle w:val="Heading2"/>
        <w:spacing w:after="120" w:before="240"/>
      </w:pPr>
      <w:r>
        <w:rPr>
          <w:b/>
          <w:bCs/>
          <w:sz w:val="26"/>
          <w:szCs w:val="26"/>
        </w:rPr>
        <w:t xml:space="preserve">7.1 DEV → TEST</w:t>
      </w:r>
    </w:p>
    <w:p>
      <w:pPr>
        <w:pStyle w:val="ListParagraph"/>
        <w:numPr>
          <w:ilvl w:val="0"/>
          <w:numId w:val="3"/>
        </w:numPr>
        <w:spacing w:after="80"/>
      </w:pPr>
      <w:r>
        <w:t xml:space="preserve">Le composant est validé fonctionnellement en DEV par le rédacteur (Motean Kenylen).</w:t>
      </w:r>
    </w:p>
    <w:p>
      <w:pPr>
        <w:pStyle w:val="ListParagraph"/>
        <w:numPr>
          <w:ilvl w:val="0"/>
          <w:numId w:val="3"/>
        </w:numPr>
        <w:spacing w:after="80"/>
      </w:pPr>
      <w:r>
        <w:t xml:space="preserve">Export du fichier TRANSACTION-EXT340MI-LstCutOff.json depuis l'environnement DEV.</w:t>
      </w:r>
    </w:p>
    <w:p>
      <w:pPr>
        <w:pStyle w:val="ListParagraph"/>
        <w:numPr>
          <w:ilvl w:val="0"/>
          <w:numId w:val="3"/>
        </w:numPr>
        <w:spacing w:after="80"/>
      </w:pPr>
      <w:r>
        <w:t xml:space="preserve">Import dans TEST en suivant la procédure de la section 5.</w:t>
      </w:r>
    </w:p>
    <w:p>
      <w:pPr>
        <w:pStyle w:val="ListParagraph"/>
        <w:numPr>
          <w:ilvl w:val="0"/>
          <w:numId w:val="3"/>
        </w:numPr>
        <w:spacing w:after="80"/>
      </w:pPr>
      <w:r>
        <w:t xml:space="preserve">Exécution complète des tests de la section 6 en TEST.</w:t>
      </w:r>
    </w:p>
    <w:p>
      <w:pPr>
        <w:pStyle w:val="ListParagraph"/>
        <w:numPr>
          <w:ilvl w:val="0"/>
          <w:numId w:val="3"/>
        </w:numPr>
        <w:spacing w:after="80"/>
      </w:pPr>
      <w:r>
        <w:t xml:space="preserve">Validation par le référent métier et signature du PV de recette TEST.</w:t>
      </w:r>
    </w:p>
    <w:p>
      <w:pPr>
        <w:pStyle w:val="Heading2"/>
        <w:spacing w:after="120" w:before="240"/>
      </w:pPr>
      <w:r>
        <w:rPr>
          <w:b/>
          <w:bCs/>
          <w:sz w:val="26"/>
          <w:szCs w:val="26"/>
        </w:rPr>
        <w:t xml:space="preserve">7.2 TEST → PROD</w:t>
      </w:r>
    </w:p>
    <w:p>
      <w:pPr>
        <w:pStyle w:val="ListParagraph"/>
        <w:numPr>
          <w:ilvl w:val="0"/>
          <w:numId w:val="3"/>
        </w:numPr>
        <w:spacing w:after="80"/>
      </w:pPr>
      <w:r>
        <w:t xml:space="preserve">Sign-off formel du chef de projet sur la base du PV de recette TEST.</w:t>
      </w:r>
    </w:p>
    <w:p>
      <w:pPr>
        <w:pStyle w:val="ListParagraph"/>
        <w:numPr>
          <w:ilvl w:val="0"/>
          <w:numId w:val="3"/>
        </w:numPr>
        <w:spacing w:after="80"/>
      </w:pPr>
      <w:r>
        <w:t xml:space="preserve">Planification de la fenêtre de déploiement PROD (créneau hors heures ouvrées).</w:t>
      </w:r>
    </w:p>
    <w:p>
      <w:pPr>
        <w:pStyle w:val="ListParagraph"/>
        <w:numPr>
          <w:ilvl w:val="0"/>
          <w:numId w:val="3"/>
        </w:numPr>
        <w:spacing w:after="80"/>
      </w:pPr>
      <w:r>
        <w:t xml:space="preserve">Communication à l'équipe support et aux utilisateurs métier.</w:t>
      </w:r>
    </w:p>
    <w:p>
      <w:pPr>
        <w:pStyle w:val="ListParagraph"/>
        <w:numPr>
          <w:ilvl w:val="0"/>
          <w:numId w:val="3"/>
        </w:numPr>
        <w:spacing w:after="80"/>
      </w:pPr>
      <w:r>
        <w:t xml:space="preserve">Import du composant en PROD en suivant la procédure de la section 5.</w:t>
      </w:r>
    </w:p>
    <w:p>
      <w:pPr>
        <w:pStyle w:val="ListParagraph"/>
        <w:numPr>
          <w:ilvl w:val="0"/>
          <w:numId w:val="3"/>
        </w:numPr>
        <w:spacing w:after="80"/>
      </w:pPr>
      <w:r>
        <w:t xml:space="preserve">Exécution des tests de fumée de la section 6 en PROD.</w:t>
      </w:r>
    </w:p>
    <w:p>
      <w:pPr>
        <w:pStyle w:val="ListParagraph"/>
        <w:numPr>
          <w:ilvl w:val="0"/>
          <w:numId w:val="3"/>
        </w:numPr>
        <w:spacing w:after="80"/>
      </w:pPr>
      <w:r>
        <w:t xml:space="preserve">Confirmation de la mise en service et clôture du ticket de déploiement.</w:t>
      </w:r>
    </w:p>
    <w:p>
      <w:pPr>
        <w:pStyle w:val="Heading1"/>
        <w:spacing w:after="180" w:before="360"/>
      </w:pPr>
      <w:r>
        <w:rPr>
          <w:b/>
          <w:bCs/>
          <w:sz w:val="32"/>
          <w:szCs w:val="32"/>
        </w:rPr>
        <w:t xml:space="preserve">8. PROCEDURE DE ROLLBACK</w:t>
      </w:r>
    </w:p>
    <w:p>
      <w:pPr>
        <w:spacing w:after="120"/>
      </w:pPr>
      <w:r>
        <w:t xml:space="preserve">En cas d'échec du déploiement ou de comportement anormal détecté en post-déploiement, exécuter la procédure de retour arrière suivante :</w:t>
      </w:r>
    </w:p>
    <w:p>
      <w:pPr>
        <w:pStyle w:val="Heading2"/>
        <w:spacing w:after="120" w:before="240"/>
      </w:pPr>
      <w:r>
        <w:rPr>
          <w:b/>
          <w:bCs/>
          <w:sz w:val="26"/>
          <w:szCs w:val="26"/>
        </w:rPr>
        <w:t xml:space="preserve">8.1 Désactivation de la transaction</w:t>
      </w:r>
    </w:p>
    <w:p>
      <w:pPr>
        <w:pStyle w:val="ListParagraph"/>
        <w:numPr>
          <w:ilvl w:val="0"/>
          <w:numId w:val="3"/>
        </w:numPr>
        <w:spacing w:after="80"/>
      </w:pPr>
      <w:r>
        <w:t xml:space="preserve">Se connecter à M3 H5 dans l'environnement cible.</w:t>
      </w:r>
    </w:p>
    <w:p>
      <w:pPr>
        <w:pStyle w:val="ListParagraph"/>
        <w:numPr>
          <w:ilvl w:val="0"/>
          <w:numId w:val="3"/>
        </w:numPr>
        <w:spacing w:after="80"/>
      </w:pPr>
      <w:r>
        <w:t xml:space="preserve">Naviguer vers : Outils d'administration &gt; XtendM3.</w:t>
      </w:r>
    </w:p>
    <w:p>
      <w:pPr>
        <w:pStyle w:val="ListParagraph"/>
        <w:numPr>
          <w:ilvl w:val="0"/>
          <w:numId w:val="3"/>
        </w:numPr>
        <w:spacing w:after="80"/>
      </w:pPr>
      <w:r>
        <w:t xml:space="preserve">Ouvrir la transaction EXT340MI-LstCutOff.</w:t>
      </w:r>
    </w:p>
    <w:p>
      <w:pPr>
        <w:pStyle w:val="ListParagraph"/>
        <w:numPr>
          <w:ilvl w:val="0"/>
          <w:numId w:val="3"/>
        </w:numPr>
        <w:spacing w:after="80"/>
      </w:pPr>
      <w:r>
        <w:t xml:space="preserve">Dans l'onglet Settings, décocher le contrôle Active.</w:t>
      </w:r>
    </w:p>
    <w:p>
      <w:pPr>
        <w:pStyle w:val="ListParagraph"/>
        <w:numPr>
          <w:ilvl w:val="0"/>
          <w:numId w:val="3"/>
        </w:numPr>
        <w:spacing w:after="80"/>
      </w:pPr>
      <w:r>
        <w:t xml:space="preserve">Cliquer sur Save.</w:t>
      </w:r>
    </w:p>
    <w:p>
      <w:pPr>
        <w:pStyle w:val="Heading2"/>
        <w:spacing w:after="120" w:before="240"/>
      </w:pPr>
      <w:r>
        <w:rPr>
          <w:b/>
          <w:bCs/>
          <w:sz w:val="26"/>
          <w:szCs w:val="26"/>
        </w:rPr>
        <w:t xml:space="preserve">8.2 Suppression de la transaction (rollback complet)</w:t>
      </w:r>
    </w:p>
    <w:p>
      <w:pPr>
        <w:pStyle w:val="ListParagraph"/>
        <w:numPr>
          <w:ilvl w:val="0"/>
          <w:numId w:val="3"/>
        </w:numPr>
        <w:spacing w:after="80"/>
      </w:pPr>
      <w:r>
        <w:t xml:space="preserve">Si le rollback partiel (désactivation) ne suffit pas, supprimer la transaction depuis la liste XtendM3.</w:t>
      </w:r>
    </w:p>
    <w:p>
      <w:pPr>
        <w:pStyle w:val="ListParagraph"/>
        <w:numPr>
          <w:ilvl w:val="0"/>
          <w:numId w:val="3"/>
        </w:numPr>
        <w:spacing w:after="80"/>
      </w:pPr>
      <w:r>
        <w:t xml:space="preserve">Confirmer la suppression dans le message de confirmation.</w:t>
      </w:r>
    </w:p>
    <w:p>
      <w:pPr>
        <w:pStyle w:val="ListParagraph"/>
        <w:numPr>
          <w:ilvl w:val="0"/>
          <w:numId w:val="3"/>
        </w:numPr>
        <w:spacing w:after="80"/>
      </w:pPr>
      <w:r>
        <w:t xml:space="preserve">Vérifier qu'aucun appel résiduel n'est en cours sur EXT340MI-LstCutOff.</w:t>
      </w:r>
    </w:p>
    <w:p>
      <w:pPr>
        <w:pStyle w:val="Heading2"/>
        <w:spacing w:after="120" w:before="240"/>
      </w:pPr>
      <w:r>
        <w:rPr>
          <w:b/>
          <w:bCs/>
          <w:sz w:val="26"/>
          <w:szCs w:val="26"/>
        </w:rPr>
        <w:t xml:space="preserve">8.3 Communication post-rollback</w:t>
      </w:r>
    </w:p>
    <w:p>
      <w:pPr>
        <w:pStyle w:val="ListParagraph"/>
        <w:numPr>
          <w:ilvl w:val="0"/>
          <w:numId w:val="3"/>
        </w:numPr>
        <w:spacing w:after="80"/>
      </w:pPr>
      <w:r>
        <w:t xml:space="preserve">Notifier immédiatement le chef de projet et le référent métier.</w:t>
      </w:r>
    </w:p>
    <w:p>
      <w:pPr>
        <w:pStyle w:val="ListParagraph"/>
        <w:numPr>
          <w:ilvl w:val="0"/>
          <w:numId w:val="3"/>
        </w:numPr>
        <w:spacing w:after="80"/>
      </w:pPr>
      <w:r>
        <w:t xml:space="preserve">Documenter la cause de l'échec dans le ticket de déploiement.</w:t>
      </w:r>
    </w:p>
    <w:p>
      <w:pPr>
        <w:pStyle w:val="ListParagraph"/>
        <w:numPr>
          <w:ilvl w:val="0"/>
          <w:numId w:val="3"/>
        </w:numPr>
        <w:spacing w:after="80"/>
      </w:pPr>
      <w:r>
        <w:t xml:space="preserve">Planifier une session de correctif avant nouvelle tentative.</w:t>
      </w:r>
    </w:p>
    <w:p>
      <w:pPr>
        <w:pStyle w:val="Heading1"/>
        <w:spacing w:after="180" w:before="360"/>
      </w:pPr>
      <w:r>
        <w:rPr>
          <w:b/>
          <w:bCs/>
          <w:sz w:val="32"/>
          <w:szCs w:val="32"/>
        </w:rPr>
        <w:t xml:space="preserve">9. APPROBATIONS &amp; SIGNATURES</w:t>
      </w:r>
    </w:p>
    <w:p>
      <w:pPr>
        <w:spacing w:after="120"/>
      </w:pPr>
      <w:r>
        <w:t xml:space="preserve">Les signataires ci-dessous attestent de la validité de ce document et autorisent le déploiement en production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026"/>
        <w:gridCol w:w="2000"/>
      </w:tblGrid>
      <w:tr>
        <w:trPr>
          <w:tblHeader/>
        </w:trPr>
        <w:tc>
          <w:tcPr>
            <w:tcW w:type="dxa" w:w="2500"/>
            <w:tcBorders>
              <w:top w:val="single" w:color="888888" w:sz="4"/>
              <w:left w:val="single" w:color="888888" w:sz="4"/>
              <w:bottom w:val="single" w:color="888888" w:sz="4"/>
              <w:right w:val="single" w:color="888888" w:sz="4"/>
            </w:tcBorders>
            <w:shd w:fill="D5E8F0" w:val="clear"/>
            <w:tcMar>
              <w:top w:type="dxa" w:w="100"/>
              <w:left w:type="dxa" w:w="140"/>
              <w:bottom w:type="dxa" w:w="100"/>
              <w:right w:type="dxa" w:w="140"/>
            </w:tcMar>
          </w:tcPr>
          <w:p>
            <w:r>
              <w:rPr>
                <w:b/>
                <w:bCs/>
              </w:rPr>
              <w:t xml:space="preserve">Nom</w:t>
            </w:r>
          </w:p>
        </w:tc>
        <w:tc>
          <w:tcPr>
            <w:tcW w:type="dxa" w:w="2500"/>
            <w:tcBorders>
              <w:top w:val="single" w:color="888888" w:sz="4"/>
              <w:left w:val="single" w:color="888888" w:sz="4"/>
              <w:bottom w:val="single" w:color="888888" w:sz="4"/>
              <w:right w:val="single" w:color="888888" w:sz="4"/>
            </w:tcBorders>
            <w:shd w:fill="D5E8F0" w:val="clear"/>
            <w:tcMar>
              <w:top w:type="dxa" w:w="100"/>
              <w:left w:type="dxa" w:w="140"/>
              <w:bottom w:type="dxa" w:w="100"/>
              <w:right w:type="dxa" w:w="140"/>
            </w:tcMar>
          </w:tcPr>
          <w:p>
            <w:r>
              <w:rPr>
                <w:b/>
                <w:bCs/>
              </w:rPr>
              <w:t xml:space="preserve">Rôle</w:t>
            </w:r>
          </w:p>
        </w:tc>
        <w:tc>
          <w:tcPr>
            <w:tcW w:type="dxa" w:w="2026"/>
            <w:tcBorders>
              <w:top w:val="single" w:color="888888" w:sz="4"/>
              <w:left w:val="single" w:color="888888" w:sz="4"/>
              <w:bottom w:val="single" w:color="888888" w:sz="4"/>
              <w:right w:val="single" w:color="888888" w:sz="4"/>
            </w:tcBorders>
            <w:shd w:fill="D5E8F0" w:val="clear"/>
            <w:tcMar>
              <w:top w:type="dxa" w:w="100"/>
              <w:left w:type="dxa" w:w="140"/>
              <w:bottom w:type="dxa" w:w="100"/>
              <w:right w:type="dxa" w:w="140"/>
            </w:tcMar>
          </w:tcPr>
          <w:p>
            <w:r>
              <w:rPr>
                <w:b/>
                <w:bCs/>
              </w:rPr>
              <w:t xml:space="preserve">Date</w:t>
            </w:r>
          </w:p>
        </w:tc>
        <w:tc>
          <w:tcPr>
            <w:tcW w:type="dxa" w:w="2000"/>
            <w:tcBorders>
              <w:top w:val="single" w:color="888888" w:sz="4"/>
              <w:left w:val="single" w:color="888888" w:sz="4"/>
              <w:bottom w:val="single" w:color="888888" w:sz="4"/>
              <w:right w:val="single" w:color="888888" w:sz="4"/>
            </w:tcBorders>
            <w:shd w:fill="D5E8F0" w:val="clear"/>
            <w:tcMar>
              <w:top w:type="dxa" w:w="100"/>
              <w:left w:type="dxa" w:w="140"/>
              <w:bottom w:type="dxa" w:w="100"/>
              <w:right w:type="dxa" w:w="140"/>
            </w:tcMar>
          </w:tcPr>
          <w:p>
            <w:r>
              <w:rPr>
                <w:b/>
                <w:bCs/>
              </w:rPr>
              <w:t xml:space="preserve">Signature</w:t>
            </w:r>
          </w:p>
        </w:tc>
      </w:tr>
      <w:tr>
        <w:tc>
          <w:tcPr>
            <w:tcW w:type="dxa" w:w="2500"/>
            <w:tcBorders>
              <w:top w:val="single" w:color="888888" w:sz="4"/>
              <w:left w:val="single" w:color="888888" w:sz="4"/>
              <w:bottom w:val="single" w:color="888888" w:sz="4"/>
              <w:right w:val="single" w:color="888888" w:sz="4"/>
            </w:tcBorders>
            <w:tcMar>
              <w:top w:type="dxa" w:w="100"/>
              <w:left w:type="dxa" w:w="140"/>
              <w:bottom w:type="dxa" w:w="100"/>
              <w:right w:type="dxa" w:w="140"/>
            </w:tcMar>
          </w:tcPr>
          <w:p>
            <w:r>
              <w:t xml:space="preserve">Motean Kenylen</w:t>
            </w:r>
          </w:p>
        </w:tc>
        <w:tc>
          <w:tcPr>
            <w:tcW w:type="dxa" w:w="2500"/>
            <w:tcBorders>
              <w:top w:val="single" w:color="888888" w:sz="4"/>
              <w:left w:val="single" w:color="888888" w:sz="4"/>
              <w:bottom w:val="single" w:color="888888" w:sz="4"/>
              <w:right w:val="single" w:color="888888" w:sz="4"/>
            </w:tcBorders>
            <w:tcMar>
              <w:top w:type="dxa" w:w="100"/>
              <w:left w:type="dxa" w:w="140"/>
              <w:bottom w:type="dxa" w:w="100"/>
              <w:right w:type="dxa" w:w="140"/>
            </w:tcMar>
          </w:tcPr>
          <w:p>
            <w:r>
              <w:t xml:space="preserve">Rédacteur</w:t>
            </w:r>
          </w:p>
        </w:tc>
        <w:tc>
          <w:tcPr>
            <w:tcW w:type="dxa" w:w="2026"/>
            <w:tcBorders>
              <w:top w:val="single" w:color="888888" w:sz="4"/>
              <w:left w:val="single" w:color="888888" w:sz="4"/>
              <w:bottom w:val="single" w:color="888888" w:sz="4"/>
              <w:right w:val="single" w:color="888888" w:sz="4"/>
            </w:tcBorders>
            <w:tcMar>
              <w:top w:type="dxa" w:w="100"/>
              <w:left w:type="dxa" w:w="140"/>
              <w:bottom w:type="dxa" w:w="100"/>
              <w:right w:type="dxa" w:w="140"/>
            </w:tcMar>
          </w:tcPr>
          <w:p>
            <w:r>
              <w:t xml:space="preserve">28/05/2026</w:t>
            </w:r>
          </w:p>
        </w:tc>
        <w:tc>
          <w:tcPr>
            <w:tcW w:type="dxa" w:w="2000"/>
            <w:tcBorders>
              <w:top w:val="single" w:color="888888" w:sz="4"/>
              <w:left w:val="single" w:color="888888" w:sz="4"/>
              <w:bottom w:val="single" w:color="888888" w:sz="4"/>
              <w:right w:val="single" w:color="888888" w:sz="4"/>
            </w:tcBorders>
            <w:tcMar>
              <w:top w:type="dxa" w:w="100"/>
              <w:left w:type="dxa" w:w="140"/>
              <w:bottom w:type="dxa" w:w="100"/>
              <w:right w:type="dxa" w:w="140"/>
            </w:tcMar>
          </w:tcPr>
          <w:p>
            <w:r>
              <w:t xml:space="preserve"/>
            </w:r>
          </w:p>
        </w:tc>
      </w:tr>
      <w:tr>
        <w:tc>
          <w:tcPr>
            <w:tcW w:type="dxa" w:w="2500"/>
            <w:tcBorders>
              <w:top w:val="single" w:color="888888" w:sz="4"/>
              <w:left w:val="single" w:color="888888" w:sz="4"/>
              <w:bottom w:val="single" w:color="888888" w:sz="4"/>
              <w:right w:val="single" w:color="888888" w:sz="4"/>
            </w:tcBorders>
            <w:tcMar>
              <w:top w:type="dxa" w:w="100"/>
              <w:left w:type="dxa" w:w="140"/>
              <w:bottom w:type="dxa" w:w="100"/>
              <w:right w:type="dxa" w:w="140"/>
            </w:tcMar>
          </w:tcPr>
          <w:p>
            <w:r>
              <w:t xml:space="preserve">[Insérer]</w:t>
            </w:r>
          </w:p>
        </w:tc>
        <w:tc>
          <w:tcPr>
            <w:tcW w:type="dxa" w:w="2500"/>
            <w:tcBorders>
              <w:top w:val="single" w:color="888888" w:sz="4"/>
              <w:left w:val="single" w:color="888888" w:sz="4"/>
              <w:bottom w:val="single" w:color="888888" w:sz="4"/>
              <w:right w:val="single" w:color="888888" w:sz="4"/>
            </w:tcBorders>
            <w:tcMar>
              <w:top w:type="dxa" w:w="100"/>
              <w:left w:type="dxa" w:w="140"/>
              <w:bottom w:type="dxa" w:w="100"/>
              <w:right w:type="dxa" w:w="140"/>
            </w:tcMar>
          </w:tcPr>
          <w:p>
            <w:r>
              <w:t xml:space="preserve">Architecte M3</w:t>
            </w:r>
          </w:p>
        </w:tc>
        <w:tc>
          <w:tcPr>
            <w:tcW w:type="dxa" w:w="2026"/>
            <w:tcBorders>
              <w:top w:val="single" w:color="888888" w:sz="4"/>
              <w:left w:val="single" w:color="888888" w:sz="4"/>
              <w:bottom w:val="single" w:color="888888" w:sz="4"/>
              <w:right w:val="single" w:color="888888" w:sz="4"/>
            </w:tcBorders>
            <w:tcMar>
              <w:top w:type="dxa" w:w="100"/>
              <w:left w:type="dxa" w:w="140"/>
              <w:bottom w:type="dxa" w:w="100"/>
              <w:right w:type="dxa" w:w="140"/>
            </w:tcMar>
          </w:tcPr>
          <w:p>
            <w:r>
              <w:t xml:space="preserve"/>
            </w:r>
          </w:p>
        </w:tc>
        <w:tc>
          <w:tcPr>
            <w:tcW w:type="dxa" w:w="2000"/>
            <w:tcBorders>
              <w:top w:val="single" w:color="888888" w:sz="4"/>
              <w:left w:val="single" w:color="888888" w:sz="4"/>
              <w:bottom w:val="single" w:color="888888" w:sz="4"/>
              <w:right w:val="single" w:color="888888" w:sz="4"/>
            </w:tcBorders>
            <w:tcMar>
              <w:top w:type="dxa" w:w="100"/>
              <w:left w:type="dxa" w:w="140"/>
              <w:bottom w:type="dxa" w:w="100"/>
              <w:right w:type="dxa" w:w="140"/>
            </w:tcMar>
          </w:tcPr>
          <w:p>
            <w:r>
              <w:t xml:space="preserve"/>
            </w:r>
          </w:p>
        </w:tc>
      </w:tr>
      <w:tr>
        <w:tc>
          <w:tcPr>
            <w:tcW w:type="dxa" w:w="2500"/>
            <w:tcBorders>
              <w:top w:val="single" w:color="888888" w:sz="4"/>
              <w:left w:val="single" w:color="888888" w:sz="4"/>
              <w:bottom w:val="single" w:color="888888" w:sz="4"/>
              <w:right w:val="single" w:color="888888" w:sz="4"/>
            </w:tcBorders>
            <w:tcMar>
              <w:top w:type="dxa" w:w="100"/>
              <w:left w:type="dxa" w:w="140"/>
              <w:bottom w:type="dxa" w:w="100"/>
              <w:right w:type="dxa" w:w="140"/>
            </w:tcMar>
          </w:tcPr>
          <w:p>
            <w:r>
              <w:t xml:space="preserve">[Insérer]</w:t>
            </w:r>
          </w:p>
        </w:tc>
        <w:tc>
          <w:tcPr>
            <w:tcW w:type="dxa" w:w="2500"/>
            <w:tcBorders>
              <w:top w:val="single" w:color="888888" w:sz="4"/>
              <w:left w:val="single" w:color="888888" w:sz="4"/>
              <w:bottom w:val="single" w:color="888888" w:sz="4"/>
              <w:right w:val="single" w:color="888888" w:sz="4"/>
            </w:tcBorders>
            <w:tcMar>
              <w:top w:type="dxa" w:w="100"/>
              <w:left w:type="dxa" w:w="140"/>
              <w:bottom w:type="dxa" w:w="100"/>
              <w:right w:type="dxa" w:w="140"/>
            </w:tcMar>
          </w:tcPr>
          <w:p>
            <w:r>
              <w:t xml:space="preserve">Chef de projet</w:t>
            </w:r>
          </w:p>
        </w:tc>
        <w:tc>
          <w:tcPr>
            <w:tcW w:type="dxa" w:w="2026"/>
            <w:tcBorders>
              <w:top w:val="single" w:color="888888" w:sz="4"/>
              <w:left w:val="single" w:color="888888" w:sz="4"/>
              <w:bottom w:val="single" w:color="888888" w:sz="4"/>
              <w:right w:val="single" w:color="888888" w:sz="4"/>
            </w:tcBorders>
            <w:tcMar>
              <w:top w:type="dxa" w:w="100"/>
              <w:left w:type="dxa" w:w="140"/>
              <w:bottom w:type="dxa" w:w="100"/>
              <w:right w:type="dxa" w:w="140"/>
            </w:tcMar>
          </w:tcPr>
          <w:p>
            <w:r>
              <w:t xml:space="preserve"/>
            </w:r>
          </w:p>
        </w:tc>
        <w:tc>
          <w:tcPr>
            <w:tcW w:type="dxa" w:w="2000"/>
            <w:tcBorders>
              <w:top w:val="single" w:color="888888" w:sz="4"/>
              <w:left w:val="single" w:color="888888" w:sz="4"/>
              <w:bottom w:val="single" w:color="888888" w:sz="4"/>
              <w:right w:val="single" w:color="888888" w:sz="4"/>
            </w:tcBorders>
            <w:tcMar>
              <w:top w:type="dxa" w:w="100"/>
              <w:left w:type="dxa" w:w="140"/>
              <w:bottom w:type="dxa" w:w="100"/>
              <w:right w:type="dxa" w:w="140"/>
            </w:tcMar>
          </w:tcPr>
          <w:p>
            <w:r>
              <w:t xml:space="preserve"/>
            </w:r>
          </w:p>
        </w:tc>
      </w:tr>
    </w:tbl>
    <w:p>
      <w:r>
        <w:t xml:space="preserve"/>
      </w:r>
    </w:p>
    <w:p>
      <w:pPr>
        <w:spacing w:after="120"/>
      </w:pPr>
      <w:r>
        <w:rPr>
          <w:i/>
          <w:iCs/>
        </w:rPr>
        <w:t xml:space="preserve">Fin du document.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sz w:val="18"/>
        <w:szCs w:val="18"/>
      </w:rPr>
      <w:t xml:space="preserve">LstCutOff — Projet Lynx</w:t>
    </w:r>
    <w:r>
      <w:rPr>
        <w:sz w:val="18"/>
        <w:szCs w:val="18"/>
      </w:rPr>
      <w:t xml:space="preserve">	Page </w:t>
    </w:r>
    <w:r>
      <w:rPr>
        <w:sz w:val="18"/>
        <w:szCs w:val="18"/>
      </w:rPr>
      <w:fldChar w:fldCharType="begin"/>
      <w:instrText xml:space="preserve">PAGE</w:instrText>
      <w:fldChar w:fldCharType="separate"/>
      <w:fldChar w:fldCharType="end"/>
    </w:r>
    <w:r>
      <w:rPr>
        <w:sz w:val="18"/>
        <w:szCs w:val="18"/>
      </w:rPr>
      <w:t xml:space="preserve"> / </w:t>
    </w:r>
    <w:r>
      <w:rPr>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b/>
        <w:bCs/>
        <w:sz w:val="18"/>
        <w:szCs w:val="18"/>
      </w:rPr>
      <w:t xml:space="preserve">DES-030 — LstCutOff OrchestrationDesCommandes</w:t>
    </w:r>
    <w:r>
      <w:rPr>
        <w:sz w:val="18"/>
        <w:szCs w:val="18"/>
      </w:rPr>
      <w:t xml:space="preserve">	Version 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DES-030 LstCutOff OrchestrationDesCommandes</dc:title>
  <dc:creator>Motean Kenylen</dc:creator>
  <dc:description>Guide de déploiement &amp; promotion — EXT340MI-LstCutOff</dc:description>
  <cp:lastModifiedBy>Un-named</cp:lastModifiedBy>
  <cp:revision>1</cp:revision>
  <dcterms:created xsi:type="dcterms:W3CDTF">2026-05-28T05:52:00.504Z</dcterms:created>
  <dcterms:modified xsi:type="dcterms:W3CDTF">2026-05-28T05:52:00.504Z</dcterms:modified>
</cp:coreProperties>
</file>

<file path=docProps/custom.xml><?xml version="1.0" encoding="utf-8"?>
<Properties xmlns="http://schemas.openxmlformats.org/officeDocument/2006/custom-properties" xmlns:vt="http://schemas.openxmlformats.org/officeDocument/2006/docPropsVTypes"/>
</file>