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29"/>
        </w:numPr>
        <w:ind w:left="720" w:hanging="360"/>
        <w:rPr>
          <w:sz w:val="24"/>
          <w:szCs w:val="24"/>
        </w:rPr>
      </w:pPr>
      <w:r w:rsidDel="00000000" w:rsidR="00000000" w:rsidRPr="00000000">
        <w:rPr>
          <w:b w:val="1"/>
          <w:bCs w:val="1"/>
          <w:sz w:val="24"/>
          <w:szCs w:val="24"/>
          <w:rtl w:val="0"/>
        </w:rPr>
        <w:t xml:space="preserve">Introducción y contexto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17">
      <w:pPr>
        <w:ind w:left="0" w:firstLine="0"/>
        <w:jc w:val="both"/>
        <w:rPr>
          <w:highlight w:val="yellow"/>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19">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A">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B">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1C">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1F">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0">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1">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2">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3">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4">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5">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6">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7">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8">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29">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2A">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2B">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2C">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2D">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2E">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31">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32">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3">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4">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5">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6">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39">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3A">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3B">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3E">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3F">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0">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1">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2">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3">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4">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5">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29"/>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4A">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both"/>
        <w:rPr/>
      </w:pPr>
      <w:r w:rsidDel="00000000" w:rsidR="00000000" w:rsidRPr="00000000">
        <w:rPr>
          <w:rtl w:val="0"/>
        </w:rPr>
      </w:r>
    </w:p>
    <w:p w:rsidR="00000000" w:rsidDel="00000000" w:rsidP="00000000" w:rsidRDefault="00000000" w:rsidRPr="00000000" w14:paraId="00000057">
      <w:pPr>
        <w:numPr>
          <w:ilvl w:val="0"/>
          <w:numId w:val="29"/>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58">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59">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5E">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5F">
      <w:pPr>
        <w:ind w:left="0" w:firstLine="0"/>
        <w:jc w:val="both"/>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1">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62">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6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b w:val="1"/>
          <w:bCs w:val="1"/>
          <w:sz w:val="24"/>
          <w:szCs w:val="24"/>
        </w:rPr>
      </w:pPr>
      <w:r w:rsidDel="00000000" w:rsidR="00000000" w:rsidRPr="00000000">
        <w:rPr>
          <w:rtl w:val="0"/>
        </w:rPr>
      </w:r>
    </w:p>
    <w:p w:rsidR="00000000" w:rsidDel="00000000" w:rsidP="00000000" w:rsidRDefault="00000000" w:rsidRPr="00000000" w14:paraId="00000070">
      <w:pPr>
        <w:numPr>
          <w:ilvl w:val="0"/>
          <w:numId w:val="29"/>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71">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72">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73">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74">
      <w:pPr>
        <w:spacing w:line="240" w:lineRule="auto"/>
        <w:jc w:val="both"/>
        <w:rPr/>
      </w:pPr>
      <w:r w:rsidDel="00000000" w:rsidR="00000000" w:rsidRPr="00000000">
        <w:rPr>
          <w:rtl w:val="0"/>
        </w:rPr>
      </w:r>
    </w:p>
    <w:p w:rsidR="00000000" w:rsidDel="00000000" w:rsidP="00000000" w:rsidRDefault="00000000" w:rsidRPr="00000000" w14:paraId="00000075">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76">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77">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78">
      <w:pPr>
        <w:spacing w:line="240" w:lineRule="auto"/>
        <w:jc w:val="both"/>
        <w:rPr/>
      </w:pPr>
      <w:r w:rsidDel="00000000" w:rsidR="00000000" w:rsidRPr="00000000">
        <w:rPr>
          <w:rtl w:val="0"/>
        </w:rPr>
      </w:r>
    </w:p>
    <w:p w:rsidR="00000000" w:rsidDel="00000000" w:rsidP="00000000" w:rsidRDefault="00000000" w:rsidRPr="00000000" w14:paraId="00000079">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7A">
      <w:pPr>
        <w:spacing w:line="276" w:lineRule="auto"/>
        <w:jc w:val="both"/>
        <w:rPr/>
      </w:pPr>
      <w:r w:rsidDel="00000000" w:rsidR="00000000" w:rsidRPr="00000000">
        <w:rPr>
          <w:rtl w:val="0"/>
        </w:rPr>
      </w:r>
    </w:p>
    <w:p w:rsidR="00000000" w:rsidDel="00000000" w:rsidP="00000000" w:rsidRDefault="00000000" w:rsidRPr="00000000" w14:paraId="0000007B">
      <w:pPr>
        <w:spacing w:line="276" w:lineRule="auto"/>
        <w:jc w:val="both"/>
        <w:rPr/>
      </w:pPr>
      <w:r w:rsidDel="00000000" w:rsidR="00000000" w:rsidRPr="00000000">
        <w:rPr>
          <w:rtl w:val="0"/>
        </w:rPr>
      </w:r>
    </w:p>
    <w:p w:rsidR="00000000" w:rsidDel="00000000" w:rsidP="00000000" w:rsidRDefault="00000000" w:rsidRPr="00000000" w14:paraId="0000007C">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7D">
      <w:pPr>
        <w:spacing w:line="240" w:lineRule="auto"/>
        <w:jc w:val="both"/>
        <w:rPr/>
      </w:pPr>
      <w:r w:rsidDel="00000000" w:rsidR="00000000" w:rsidRPr="00000000">
        <w:rPr>
          <w:rtl w:val="0"/>
        </w:rPr>
      </w:r>
    </w:p>
    <w:p w:rsidR="00000000" w:rsidDel="00000000" w:rsidP="00000000" w:rsidRDefault="00000000" w:rsidRPr="00000000" w14:paraId="0000007E">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7F">
      <w:pPr>
        <w:spacing w:line="240" w:lineRule="auto"/>
        <w:ind w:left="720" w:firstLine="0"/>
        <w:jc w:val="both"/>
        <w:rPr/>
      </w:pPr>
      <w:r w:rsidDel="00000000" w:rsidR="00000000" w:rsidRPr="00000000">
        <w:rPr>
          <w:rtl w:val="0"/>
        </w:rPr>
      </w:r>
    </w:p>
    <w:p w:rsidR="00000000" w:rsidDel="00000000" w:rsidP="00000000" w:rsidRDefault="00000000" w:rsidRPr="00000000" w14:paraId="00000080">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81">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82">
      <w:pPr>
        <w:ind w:left="720" w:firstLine="0"/>
        <w:jc w:val="both"/>
        <w:rPr>
          <w:highlight w:val="yellow"/>
        </w:rPr>
      </w:pPr>
      <w:r w:rsidDel="00000000" w:rsidR="00000000" w:rsidRPr="00000000">
        <w:rPr>
          <w:rtl w:val="0"/>
        </w:rPr>
      </w:r>
    </w:p>
    <w:p w:rsidR="00000000" w:rsidDel="00000000" w:rsidP="00000000" w:rsidRDefault="00000000" w:rsidRPr="00000000" w14:paraId="00000083">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86">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7">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8">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8B">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8C">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8D">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8E">
      <w:pPr>
        <w:spacing w:line="276" w:lineRule="auto"/>
        <w:ind w:left="0" w:firstLine="0"/>
        <w:jc w:val="both"/>
        <w:rPr/>
      </w:pPr>
      <w:r w:rsidDel="00000000" w:rsidR="00000000" w:rsidRPr="00000000">
        <w:rPr>
          <w:rtl w:val="0"/>
        </w:rPr>
      </w:r>
    </w:p>
    <w:p w:rsidR="00000000" w:rsidDel="00000000" w:rsidP="00000000" w:rsidRDefault="00000000" w:rsidRPr="00000000" w14:paraId="0000008F">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90">
      <w:pPr>
        <w:spacing w:line="276" w:lineRule="auto"/>
        <w:ind w:left="0" w:firstLine="0"/>
        <w:jc w:val="both"/>
        <w:rPr/>
      </w:pPr>
      <w:r w:rsidDel="00000000" w:rsidR="00000000" w:rsidRPr="00000000">
        <w:rPr>
          <w:rtl w:val="0"/>
        </w:rPr>
      </w:r>
    </w:p>
    <w:p w:rsidR="00000000" w:rsidDel="00000000" w:rsidP="00000000" w:rsidRDefault="00000000" w:rsidRPr="00000000" w14:paraId="00000091">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92">
      <w:pPr>
        <w:spacing w:line="240" w:lineRule="auto"/>
        <w:jc w:val="both"/>
        <w:rPr/>
      </w:pPr>
      <w:r w:rsidDel="00000000" w:rsidR="00000000" w:rsidRPr="00000000">
        <w:rPr>
          <w:rtl w:val="0"/>
        </w:rPr>
      </w:r>
    </w:p>
    <w:p w:rsidR="00000000" w:rsidDel="00000000" w:rsidP="00000000" w:rsidRDefault="00000000" w:rsidRPr="00000000" w14:paraId="00000093">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94">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95">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96">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97">
      <w:pPr>
        <w:spacing w:line="276" w:lineRule="auto"/>
        <w:ind w:left="720" w:firstLine="0"/>
        <w:jc w:val="both"/>
        <w:rPr/>
      </w:pPr>
      <w:r w:rsidDel="00000000" w:rsidR="00000000" w:rsidRPr="00000000">
        <w:rPr>
          <w:rtl w:val="0"/>
        </w:rPr>
      </w:r>
    </w:p>
    <w:p w:rsidR="00000000" w:rsidDel="00000000" w:rsidP="00000000" w:rsidRDefault="00000000" w:rsidRPr="00000000" w14:paraId="00000098">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99">
      <w:pPr>
        <w:spacing w:line="240" w:lineRule="auto"/>
        <w:jc w:val="both"/>
        <w:rPr/>
      </w:pP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9C">
      <w:pPr>
        <w:spacing w:line="240" w:lineRule="auto"/>
        <w:ind w:left="0" w:firstLine="0"/>
        <w:jc w:val="both"/>
        <w:rPr/>
      </w:pPr>
      <w:r w:rsidDel="00000000" w:rsidR="00000000" w:rsidRPr="00000000">
        <w:rPr>
          <w:rtl w:val="0"/>
        </w:rPr>
      </w:r>
    </w:p>
    <w:p w:rsidR="00000000" w:rsidDel="00000000" w:rsidP="00000000" w:rsidRDefault="00000000" w:rsidRPr="00000000" w14:paraId="0000009D">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9E">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9F">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A0">
      <w:pPr>
        <w:spacing w:line="276" w:lineRule="auto"/>
        <w:ind w:left="0" w:firstLine="0"/>
        <w:jc w:val="both"/>
        <w:rPr/>
      </w:pPr>
      <w:r w:rsidDel="00000000" w:rsidR="00000000" w:rsidRPr="00000000">
        <w:rPr>
          <w:rtl w:val="0"/>
        </w:rPr>
      </w:r>
    </w:p>
    <w:p w:rsidR="00000000" w:rsidDel="00000000" w:rsidP="00000000" w:rsidRDefault="00000000" w:rsidRPr="00000000" w14:paraId="000000A1">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A2">
      <w:pPr>
        <w:spacing w:line="276" w:lineRule="auto"/>
        <w:ind w:left="720" w:firstLine="0"/>
        <w:jc w:val="both"/>
        <w:rPr/>
      </w:pPr>
      <w:r w:rsidDel="00000000" w:rsidR="00000000" w:rsidRPr="00000000">
        <w:rPr>
          <w:rtl w:val="0"/>
        </w:rPr>
      </w:r>
    </w:p>
    <w:p w:rsidR="00000000" w:rsidDel="00000000" w:rsidP="00000000" w:rsidRDefault="00000000" w:rsidRPr="00000000" w14:paraId="000000A3">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A4">
      <w:pPr>
        <w:spacing w:line="240" w:lineRule="auto"/>
        <w:jc w:val="both"/>
        <w:rPr/>
      </w:pPr>
      <w:r w:rsidDel="00000000" w:rsidR="00000000" w:rsidRPr="00000000">
        <w:rPr>
          <w:rtl w:val="0"/>
        </w:rPr>
      </w:r>
    </w:p>
    <w:p w:rsidR="00000000" w:rsidDel="00000000" w:rsidP="00000000" w:rsidRDefault="00000000" w:rsidRPr="00000000" w14:paraId="000000A5">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A6">
      <w:pPr>
        <w:spacing w:line="240" w:lineRule="auto"/>
        <w:jc w:val="both"/>
        <w:rPr/>
      </w:pPr>
      <w:r w:rsidDel="00000000" w:rsidR="00000000" w:rsidRPr="00000000">
        <w:rPr>
          <w:rtl w:val="0"/>
        </w:rPr>
      </w:r>
    </w:p>
    <w:p w:rsidR="00000000" w:rsidDel="00000000" w:rsidP="00000000" w:rsidRDefault="00000000" w:rsidRPr="00000000" w14:paraId="000000A7">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A8">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A9">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AA">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AB">
      <w:pPr>
        <w:spacing w:line="276" w:lineRule="auto"/>
        <w:ind w:left="0" w:firstLine="0"/>
        <w:jc w:val="both"/>
        <w:rPr/>
      </w:pPr>
      <w:r w:rsidDel="00000000" w:rsidR="00000000" w:rsidRPr="00000000">
        <w:rPr>
          <w:rtl w:val="0"/>
        </w:rPr>
      </w:r>
    </w:p>
    <w:p w:rsidR="00000000" w:rsidDel="00000000" w:rsidP="00000000" w:rsidRDefault="00000000" w:rsidRPr="00000000" w14:paraId="000000AC">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AD">
      <w:pPr>
        <w:spacing w:line="276" w:lineRule="auto"/>
        <w:ind w:left="720" w:firstLine="0"/>
        <w:jc w:val="both"/>
        <w:rPr/>
      </w:pPr>
      <w:r w:rsidDel="00000000" w:rsidR="00000000" w:rsidRPr="00000000">
        <w:rPr>
          <w:rtl w:val="0"/>
        </w:rPr>
      </w:r>
    </w:p>
    <w:p w:rsidR="00000000" w:rsidDel="00000000" w:rsidP="00000000" w:rsidRDefault="00000000" w:rsidRPr="00000000" w14:paraId="000000AE">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AF">
      <w:pPr>
        <w:spacing w:line="240" w:lineRule="auto"/>
        <w:jc w:val="both"/>
        <w:rPr/>
      </w:pPr>
      <w:r w:rsidDel="00000000" w:rsidR="00000000" w:rsidRPr="00000000">
        <w:rPr>
          <w:rtl w:val="0"/>
        </w:rPr>
      </w:r>
    </w:p>
    <w:p w:rsidR="00000000" w:rsidDel="00000000" w:rsidP="00000000" w:rsidRDefault="00000000" w:rsidRPr="00000000" w14:paraId="000000B0">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B1">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B2">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B3">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4">
      <w:pPr>
        <w:spacing w:line="276" w:lineRule="auto"/>
        <w:jc w:val="both"/>
        <w:rPr/>
      </w:pPr>
      <w:r w:rsidDel="00000000" w:rsidR="00000000" w:rsidRPr="00000000">
        <w:rPr>
          <w:rtl w:val="0"/>
        </w:rPr>
      </w:r>
    </w:p>
    <w:p w:rsidR="00000000" w:rsidDel="00000000" w:rsidP="00000000" w:rsidRDefault="00000000" w:rsidRPr="00000000" w14:paraId="000000B5">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B6">
      <w:pPr>
        <w:spacing w:line="240" w:lineRule="auto"/>
        <w:jc w:val="both"/>
        <w:rPr/>
      </w:pPr>
      <w:r w:rsidDel="00000000" w:rsidR="00000000" w:rsidRPr="00000000">
        <w:rPr>
          <w:rtl w:val="0"/>
        </w:rPr>
      </w:r>
    </w:p>
    <w:p w:rsidR="00000000" w:rsidDel="00000000" w:rsidP="00000000" w:rsidRDefault="00000000" w:rsidRPr="00000000" w14:paraId="000000B7">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B8">
      <w:pPr>
        <w:spacing w:line="276" w:lineRule="auto"/>
        <w:ind w:left="0" w:firstLine="0"/>
        <w:jc w:val="both"/>
        <w:rPr/>
      </w:pPr>
      <w:r w:rsidDel="00000000" w:rsidR="00000000" w:rsidRPr="00000000">
        <w:rPr>
          <w:rtl w:val="0"/>
        </w:rPr>
      </w:r>
    </w:p>
    <w:p w:rsidR="00000000" w:rsidDel="00000000" w:rsidP="00000000" w:rsidRDefault="00000000" w:rsidRPr="00000000" w14:paraId="000000B9">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BA">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BB">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BE">
      <w:pPr>
        <w:spacing w:line="240" w:lineRule="auto"/>
        <w:jc w:val="both"/>
        <w:rPr/>
      </w:pPr>
      <w:r w:rsidDel="00000000" w:rsidR="00000000" w:rsidRPr="00000000">
        <w:rPr>
          <w:rtl w:val="0"/>
        </w:rPr>
      </w:r>
    </w:p>
    <w:p w:rsidR="00000000" w:rsidDel="00000000" w:rsidP="00000000" w:rsidRDefault="00000000" w:rsidRPr="00000000" w14:paraId="000000BF">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0C0">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0C1">
      <w:pPr>
        <w:spacing w:line="276" w:lineRule="auto"/>
        <w:jc w:val="both"/>
        <w:rPr/>
      </w:pPr>
      <w:r w:rsidDel="00000000" w:rsidR="00000000" w:rsidRPr="00000000">
        <w:rPr>
          <w:rtl w:val="0"/>
        </w:rPr>
      </w:r>
    </w:p>
    <w:p w:rsidR="00000000" w:rsidDel="00000000" w:rsidP="00000000" w:rsidRDefault="00000000" w:rsidRPr="00000000" w14:paraId="000000C2">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0C3">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0C4">
      <w:pPr>
        <w:spacing w:line="240" w:lineRule="auto"/>
        <w:jc w:val="both"/>
        <w:rPr/>
      </w:pPr>
      <w:r w:rsidDel="00000000" w:rsidR="00000000" w:rsidRPr="00000000">
        <w:rPr>
          <w:rtl w:val="0"/>
        </w:rPr>
      </w:r>
    </w:p>
    <w:p w:rsidR="00000000" w:rsidDel="00000000" w:rsidP="00000000" w:rsidRDefault="00000000" w:rsidRPr="00000000" w14:paraId="000000C5">
      <w:pPr>
        <w:spacing w:line="240" w:lineRule="auto"/>
        <w:jc w:val="both"/>
        <w:rPr/>
      </w:pPr>
      <w:r w:rsidDel="00000000" w:rsidR="00000000" w:rsidRPr="00000000">
        <w:rPr>
          <w:rtl w:val="0"/>
        </w:rPr>
      </w:r>
    </w:p>
    <w:p w:rsidR="00000000" w:rsidDel="00000000" w:rsidP="00000000" w:rsidRDefault="00000000" w:rsidRPr="00000000" w14:paraId="000000C6">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0C7">
      <w:pPr>
        <w:spacing w:line="240" w:lineRule="auto"/>
        <w:jc w:val="both"/>
        <w:rPr/>
      </w:pPr>
      <w:r w:rsidDel="00000000" w:rsidR="00000000" w:rsidRPr="00000000">
        <w:rPr>
          <w:rtl w:val="0"/>
        </w:rPr>
      </w:r>
    </w:p>
    <w:p w:rsidR="00000000" w:rsidDel="00000000" w:rsidP="00000000" w:rsidRDefault="00000000" w:rsidRPr="00000000" w14:paraId="000000C8">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0C9">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CA">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CB">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0CC">
      <w:pPr>
        <w:spacing w:line="240" w:lineRule="auto"/>
        <w:jc w:val="both"/>
        <w:rPr/>
      </w:pP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0D0">
      <w:pPr>
        <w:spacing w:line="276" w:lineRule="auto"/>
        <w:jc w:val="both"/>
        <w:rPr/>
      </w:pPr>
      <w:r w:rsidDel="00000000" w:rsidR="00000000" w:rsidRPr="00000000">
        <w:rPr>
          <w:rtl w:val="0"/>
        </w:rPr>
      </w:r>
    </w:p>
    <w:p w:rsidR="00000000" w:rsidDel="00000000" w:rsidP="00000000" w:rsidRDefault="00000000" w:rsidRPr="00000000" w14:paraId="000000D1">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D2">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3">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4">
      <w:pPr>
        <w:spacing w:line="276" w:lineRule="auto"/>
        <w:ind w:left="720" w:firstLine="0"/>
        <w:jc w:val="both"/>
        <w:rPr/>
      </w:pPr>
      <w:r w:rsidDel="00000000" w:rsidR="00000000" w:rsidRPr="00000000">
        <w:rPr>
          <w:rtl w:val="0"/>
        </w:rPr>
      </w:r>
    </w:p>
    <w:p w:rsidR="00000000" w:rsidDel="00000000" w:rsidP="00000000" w:rsidRDefault="00000000" w:rsidRPr="00000000" w14:paraId="000000D5">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0D6">
      <w:pPr>
        <w:spacing w:line="240" w:lineRule="auto"/>
        <w:jc w:val="both"/>
        <w:rPr/>
      </w:pPr>
      <w:r w:rsidDel="00000000" w:rsidR="00000000" w:rsidRPr="00000000">
        <w:rPr>
          <w:rtl w:val="0"/>
        </w:rPr>
      </w:r>
    </w:p>
    <w:p w:rsidR="00000000" w:rsidDel="00000000" w:rsidP="00000000" w:rsidRDefault="00000000" w:rsidRPr="00000000" w14:paraId="000000D7">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0D8">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D9">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DA">
      <w:pPr>
        <w:spacing w:line="276" w:lineRule="auto"/>
        <w:ind w:left="0" w:firstLine="0"/>
        <w:jc w:val="both"/>
        <w:rPr/>
      </w:pPr>
      <w:r w:rsidDel="00000000" w:rsidR="00000000" w:rsidRPr="00000000">
        <w:rPr>
          <w:rtl w:val="0"/>
        </w:rPr>
      </w:r>
    </w:p>
    <w:p w:rsidR="00000000" w:rsidDel="00000000" w:rsidP="00000000" w:rsidRDefault="00000000" w:rsidRPr="00000000" w14:paraId="000000DB">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0E0">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1">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0E2">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E3">
      <w:pPr>
        <w:spacing w:line="276" w:lineRule="auto"/>
        <w:jc w:val="both"/>
        <w:rPr/>
      </w:pPr>
      <w:r w:rsidDel="00000000" w:rsidR="00000000" w:rsidRPr="00000000">
        <w:rPr>
          <w:rtl w:val="0"/>
        </w:rPr>
      </w:r>
    </w:p>
    <w:p w:rsidR="00000000" w:rsidDel="00000000" w:rsidP="00000000" w:rsidRDefault="00000000" w:rsidRPr="00000000" w14:paraId="000000E4">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0E5">
      <w:pPr>
        <w:spacing w:line="240" w:lineRule="auto"/>
        <w:jc w:val="both"/>
        <w:rPr/>
      </w:pPr>
      <w:r w:rsidDel="00000000" w:rsidR="00000000" w:rsidRPr="00000000">
        <w:rPr>
          <w:rtl w:val="0"/>
        </w:rPr>
      </w:r>
    </w:p>
    <w:p w:rsidR="00000000" w:rsidDel="00000000" w:rsidP="00000000" w:rsidRDefault="00000000" w:rsidRPr="00000000" w14:paraId="000000E6">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0E7">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8">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0E9">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0EA">
      <w:pPr>
        <w:spacing w:line="276" w:lineRule="auto"/>
        <w:ind w:left="720" w:firstLine="0"/>
        <w:jc w:val="both"/>
        <w:rPr/>
      </w:pPr>
      <w:r w:rsidDel="00000000" w:rsidR="00000000" w:rsidRPr="00000000">
        <w:rPr>
          <w:rtl w:val="0"/>
        </w:rPr>
      </w:r>
    </w:p>
    <w:p w:rsidR="00000000" w:rsidDel="00000000" w:rsidP="00000000" w:rsidRDefault="00000000" w:rsidRPr="00000000" w14:paraId="000000EB">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EC">
      <w:pPr>
        <w:spacing w:line="240" w:lineRule="auto"/>
        <w:jc w:val="both"/>
        <w:rPr/>
      </w:pPr>
      <w:r w:rsidDel="00000000" w:rsidR="00000000" w:rsidRPr="00000000">
        <w:rPr>
          <w:rtl w:val="0"/>
        </w:rPr>
      </w:r>
    </w:p>
    <w:p w:rsidR="00000000" w:rsidDel="00000000" w:rsidP="00000000" w:rsidRDefault="00000000" w:rsidRPr="00000000" w14:paraId="000000ED">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0EE">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F">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0F0">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0F1">
      <w:pPr>
        <w:spacing w:line="276" w:lineRule="auto"/>
        <w:ind w:left="720" w:firstLine="0"/>
        <w:jc w:val="both"/>
        <w:rPr/>
      </w:pPr>
      <w:r w:rsidDel="00000000" w:rsidR="00000000" w:rsidRPr="00000000">
        <w:rPr>
          <w:rtl w:val="0"/>
        </w:rPr>
      </w:r>
    </w:p>
    <w:p w:rsidR="00000000" w:rsidDel="00000000" w:rsidP="00000000" w:rsidRDefault="00000000" w:rsidRPr="00000000" w14:paraId="000000F2">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0F3">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0F4">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0F5">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0F6">
      <w:pPr>
        <w:spacing w:line="240" w:lineRule="auto"/>
        <w:jc w:val="both"/>
        <w:rPr/>
      </w:pPr>
      <w:r w:rsidDel="00000000" w:rsidR="00000000" w:rsidRPr="00000000">
        <w:rPr>
          <w:rtl w:val="0"/>
        </w:rPr>
      </w:r>
    </w:p>
    <w:p w:rsidR="00000000" w:rsidDel="00000000" w:rsidP="00000000" w:rsidRDefault="00000000" w:rsidRPr="00000000" w14:paraId="000000F7">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0F8">
      <w:pPr>
        <w:spacing w:line="240" w:lineRule="auto"/>
        <w:jc w:val="both"/>
        <w:rPr/>
      </w:pPr>
      <w:r w:rsidDel="00000000" w:rsidR="00000000" w:rsidRPr="00000000">
        <w:rPr>
          <w:rtl w:val="0"/>
        </w:rPr>
      </w:r>
    </w:p>
    <w:p w:rsidR="00000000" w:rsidDel="00000000" w:rsidP="00000000" w:rsidRDefault="00000000" w:rsidRPr="00000000" w14:paraId="000000F9">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0FA">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FB">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FC">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D">
      <w:pPr>
        <w:spacing w:line="240" w:lineRule="auto"/>
        <w:jc w:val="both"/>
        <w:rPr/>
      </w:pPr>
      <w:r w:rsidDel="00000000" w:rsidR="00000000" w:rsidRPr="00000000">
        <w:rPr>
          <w:rtl w:val="0"/>
        </w:rPr>
      </w:r>
    </w:p>
    <w:p w:rsidR="00000000" w:rsidDel="00000000" w:rsidP="00000000" w:rsidRDefault="00000000" w:rsidRPr="00000000" w14:paraId="000000FE">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0FF">
      <w:pPr>
        <w:spacing w:line="240" w:lineRule="auto"/>
        <w:jc w:val="both"/>
        <w:rPr/>
      </w:pPr>
      <w:r w:rsidDel="00000000" w:rsidR="00000000" w:rsidRPr="00000000">
        <w:rPr>
          <w:rtl w:val="0"/>
        </w:rPr>
      </w:r>
    </w:p>
    <w:p w:rsidR="00000000" w:rsidDel="00000000" w:rsidP="00000000" w:rsidRDefault="00000000" w:rsidRPr="00000000" w14:paraId="00000100">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01">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02">
      <w:pPr>
        <w:spacing w:line="240" w:lineRule="auto"/>
        <w:jc w:val="both"/>
        <w:rPr/>
      </w:pPr>
      <w:r w:rsidDel="00000000" w:rsidR="00000000" w:rsidRPr="00000000">
        <w:rPr>
          <w:rtl w:val="0"/>
        </w:rPr>
      </w:r>
    </w:p>
    <w:p w:rsidR="00000000" w:rsidDel="00000000" w:rsidP="00000000" w:rsidRDefault="00000000" w:rsidRPr="00000000" w14:paraId="00000103">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04">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05">
      <w:pPr>
        <w:spacing w:line="240" w:lineRule="auto"/>
        <w:jc w:val="both"/>
        <w:rPr/>
      </w:pPr>
      <w:r w:rsidDel="00000000" w:rsidR="00000000" w:rsidRPr="00000000">
        <w:rPr>
          <w:rtl w:val="0"/>
        </w:rPr>
      </w:r>
    </w:p>
    <w:p w:rsidR="00000000" w:rsidDel="00000000" w:rsidP="00000000" w:rsidRDefault="00000000" w:rsidRPr="00000000" w14:paraId="00000106">
      <w:pPr>
        <w:spacing w:line="276" w:lineRule="auto"/>
        <w:jc w:val="both"/>
        <w:rPr/>
      </w:pPr>
      <w:r w:rsidDel="00000000" w:rsidR="00000000" w:rsidRPr="00000000">
        <w:rPr>
          <w:b w:val="1"/>
          <w:bCs w:val="1"/>
          <w:color w:val="fd8b09"/>
          <w:sz w:val="26"/>
          <w:szCs w:val="26"/>
          <w:rtl w:val="0"/>
        </w:rPr>
        <w:t xml:space="preserve">Resultado del 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rtl w:val="0"/>
        </w:rPr>
      </w:r>
    </w:p>
    <w:p w:rsidR="00000000" w:rsidDel="00000000" w:rsidP="00000000" w:rsidRDefault="00000000" w:rsidRPr="00000000" w14:paraId="00000108">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09">
      <w:pPr>
        <w:spacing w:line="276" w:lineRule="auto"/>
        <w:ind w:left="720" w:firstLine="0"/>
        <w:jc w:val="both"/>
        <w:rPr/>
      </w:pPr>
      <w:r w:rsidDel="00000000" w:rsidR="00000000" w:rsidRPr="00000000">
        <w:rPr>
          <w:rtl w:val="0"/>
        </w:rPr>
      </w:r>
    </w:p>
    <w:p w:rsidR="00000000" w:rsidDel="00000000" w:rsidP="00000000" w:rsidRDefault="00000000" w:rsidRPr="00000000" w14:paraId="0000010A">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0B">
      <w:pPr>
        <w:spacing w:line="276" w:lineRule="auto"/>
        <w:jc w:val="both"/>
        <w:rPr/>
      </w:pPr>
      <w:r w:rsidDel="00000000" w:rsidR="00000000" w:rsidRPr="00000000">
        <w:rPr>
          <w:rtl w:val="0"/>
        </w:rPr>
      </w:r>
    </w:p>
    <w:p w:rsidR="00000000" w:rsidDel="00000000" w:rsidP="00000000" w:rsidRDefault="00000000" w:rsidRPr="00000000" w14:paraId="0000010C">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0D">
      <w:pPr>
        <w:spacing w:line="276" w:lineRule="auto"/>
        <w:ind w:left="720" w:firstLine="0"/>
        <w:jc w:val="both"/>
        <w:rPr/>
      </w:pPr>
      <w:r w:rsidDel="00000000" w:rsidR="00000000" w:rsidRPr="00000000">
        <w:rPr>
          <w:rtl w:val="0"/>
        </w:rPr>
      </w:r>
    </w:p>
    <w:p w:rsidR="00000000" w:rsidDel="00000000" w:rsidP="00000000" w:rsidRDefault="00000000" w:rsidRPr="00000000" w14:paraId="0000010E">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0F">
      <w:pPr>
        <w:spacing w:line="276" w:lineRule="auto"/>
        <w:jc w:val="both"/>
        <w:rPr/>
      </w:pPr>
      <w:r w:rsidDel="00000000" w:rsidR="00000000" w:rsidRPr="00000000">
        <w:rPr>
          <w:rtl w:val="0"/>
        </w:rPr>
      </w:r>
    </w:p>
    <w:p w:rsidR="00000000" w:rsidDel="00000000" w:rsidP="00000000" w:rsidRDefault="00000000" w:rsidRPr="00000000" w14:paraId="00000110">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11">
      <w:pPr>
        <w:spacing w:line="276" w:lineRule="auto"/>
        <w:ind w:left="720" w:firstLine="0"/>
        <w:jc w:val="both"/>
        <w:rPr/>
      </w:pPr>
      <w:r w:rsidDel="00000000" w:rsidR="00000000" w:rsidRPr="00000000">
        <w:rPr>
          <w:rtl w:val="0"/>
        </w:rPr>
      </w:r>
    </w:p>
    <w:p w:rsidR="00000000" w:rsidDel="00000000" w:rsidP="00000000" w:rsidRDefault="00000000" w:rsidRPr="00000000" w14:paraId="00000112">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13">
      <w:pPr>
        <w:spacing w:line="276" w:lineRule="auto"/>
        <w:jc w:val="both"/>
        <w:rPr/>
      </w:pPr>
      <w:r w:rsidDel="00000000" w:rsidR="00000000" w:rsidRPr="00000000">
        <w:rPr>
          <w:rtl w:val="0"/>
        </w:rPr>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76" w:lineRule="auto"/>
        <w:jc w:val="both"/>
        <w:rPr>
          <w:b w:val="1"/>
          <w:bCs w:val="1"/>
          <w:sz w:val="24"/>
          <w:szCs w:val="24"/>
        </w:rPr>
      </w:pPr>
      <w:r w:rsidDel="00000000" w:rsidR="00000000" w:rsidRPr="00000000">
        <w:rPr>
          <w:b w:val="1"/>
          <w:bCs w:val="1"/>
          <w:sz w:val="24"/>
          <w:szCs w:val="24"/>
          <w:rtl w:val="0"/>
        </w:rPr>
        <w:t xml:space="preserve">6. Análisis exploratorio</w:t>
      </w:r>
    </w:p>
    <w:p w:rsidR="00000000" w:rsidDel="00000000" w:rsidP="00000000" w:rsidRDefault="00000000" w:rsidRPr="00000000" w14:paraId="00000116">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17">
      <w:pPr>
        <w:spacing w:line="276" w:lineRule="auto"/>
        <w:jc w:val="both"/>
        <w:rPr>
          <w:sz w:val="24"/>
          <w:szCs w:val="24"/>
        </w:rPr>
      </w:pPr>
      <w:r w:rsidDel="00000000" w:rsidR="00000000" w:rsidRPr="00000000">
        <w:rPr>
          <w:rtl w:val="0"/>
        </w:rPr>
      </w:r>
    </w:p>
    <w:p w:rsidR="00000000" w:rsidDel="00000000" w:rsidP="00000000" w:rsidRDefault="00000000" w:rsidRPr="00000000" w14:paraId="00000118">
      <w:pPr>
        <w:spacing w:line="276" w:lineRule="auto"/>
        <w:jc w:val="both"/>
        <w:rPr>
          <w:sz w:val="24"/>
          <w:szCs w:val="24"/>
        </w:rPr>
      </w:pPr>
      <w:r w:rsidDel="00000000" w:rsidR="00000000" w:rsidRPr="00000000">
        <w:rPr>
          <w:rtl w:val="0"/>
        </w:rPr>
      </w:r>
    </w:p>
    <w:p w:rsidR="00000000" w:rsidDel="00000000" w:rsidP="00000000" w:rsidRDefault="00000000" w:rsidRPr="00000000" w14:paraId="00000119">
      <w:pPr>
        <w:spacing w:line="276" w:lineRule="auto"/>
        <w:jc w:val="both"/>
        <w:rPr>
          <w:sz w:val="24"/>
          <w:szCs w:val="24"/>
        </w:rPr>
      </w:pPr>
      <w:r w:rsidDel="00000000" w:rsidR="00000000" w:rsidRPr="00000000">
        <w:rPr>
          <w:rtl w:val="0"/>
        </w:rPr>
      </w:r>
    </w:p>
    <w:p w:rsidR="00000000" w:rsidDel="00000000" w:rsidP="00000000" w:rsidRDefault="00000000" w:rsidRPr="00000000" w14:paraId="0000011A">
      <w:pPr>
        <w:spacing w:line="276" w:lineRule="auto"/>
        <w:jc w:val="both"/>
        <w:rPr>
          <w:u w:val="single"/>
        </w:rPr>
      </w:pPr>
      <w:r w:rsidDel="00000000" w:rsidR="00000000" w:rsidRPr="00000000">
        <w:rPr>
          <w:rtl w:val="0"/>
        </w:rPr>
      </w:r>
    </w:p>
    <w:p w:rsidR="00000000" w:rsidDel="00000000" w:rsidP="00000000" w:rsidRDefault="00000000" w:rsidRPr="00000000" w14:paraId="0000011B">
      <w:pPr>
        <w:spacing w:line="276" w:lineRule="auto"/>
        <w:jc w:val="both"/>
        <w:rPr>
          <w:u w:val="single"/>
        </w:rPr>
      </w:pPr>
      <w:r w:rsidDel="00000000" w:rsidR="00000000" w:rsidRPr="00000000">
        <w:rPr>
          <w:b w:val="1"/>
          <w:bCs w:val="1"/>
          <w:u w:val="single"/>
          <w:rtl w:val="0"/>
        </w:rPr>
        <w:t xml:space="preserve">6.1 Análisis univariante</w:t>
      </w:r>
      <w:r w:rsidDel="00000000" w:rsidR="00000000" w:rsidRPr="00000000">
        <w:rPr>
          <w:rtl w:val="0"/>
        </w:rPr>
      </w:r>
    </w:p>
    <w:p w:rsidR="00000000" w:rsidDel="00000000" w:rsidP="00000000" w:rsidRDefault="00000000" w:rsidRPr="00000000" w14:paraId="0000011C">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1D">
      <w:pPr>
        <w:spacing w:line="276" w:lineRule="auto"/>
        <w:jc w:val="both"/>
        <w:rPr/>
      </w:pPr>
      <w:r w:rsidDel="00000000" w:rsidR="00000000" w:rsidRPr="00000000">
        <w:rPr>
          <w:rtl w:val="0"/>
        </w:rPr>
      </w:r>
    </w:p>
    <w:p w:rsidR="00000000" w:rsidDel="00000000" w:rsidP="00000000" w:rsidRDefault="00000000" w:rsidRPr="00000000" w14:paraId="0000011E">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1F">
      <w:pPr>
        <w:spacing w:line="276" w:lineRule="auto"/>
        <w:jc w:val="both"/>
        <w:rPr/>
      </w:pPr>
      <w:r w:rsidDel="00000000" w:rsidR="00000000" w:rsidRPr="00000000">
        <w:rPr>
          <w:rtl w:val="0"/>
        </w:rPr>
      </w:r>
    </w:p>
    <w:p w:rsidR="00000000" w:rsidDel="00000000" w:rsidP="00000000" w:rsidRDefault="00000000" w:rsidRPr="00000000" w14:paraId="00000120">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23">
      <w:pPr>
        <w:spacing w:line="276" w:lineRule="auto"/>
        <w:jc w:val="both"/>
        <w:rPr>
          <w:highlight w:val="yellow"/>
        </w:rPr>
      </w:pPr>
      <w:r w:rsidDel="00000000" w:rsidR="00000000" w:rsidRPr="00000000">
        <w:rPr>
          <w:rtl w:val="0"/>
        </w:rPr>
      </w:r>
    </w:p>
    <w:p w:rsidR="00000000" w:rsidDel="00000000" w:rsidP="00000000" w:rsidRDefault="00000000" w:rsidRPr="00000000" w14:paraId="00000124">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25">
      <w:pPr>
        <w:spacing w:line="276" w:lineRule="auto"/>
        <w:jc w:val="both"/>
        <w:rPr/>
      </w:pPr>
      <w:r w:rsidDel="00000000" w:rsidR="00000000" w:rsidRPr="00000000">
        <w:rPr>
          <w:rtl w:val="0"/>
        </w:rPr>
      </w:r>
    </w:p>
    <w:p w:rsidR="00000000" w:rsidDel="00000000" w:rsidP="00000000" w:rsidRDefault="00000000" w:rsidRPr="00000000" w14:paraId="00000126">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27">
      <w:pPr>
        <w:spacing w:line="276" w:lineRule="auto"/>
        <w:jc w:val="both"/>
        <w:rPr/>
      </w:pPr>
      <w:r w:rsidDel="00000000" w:rsidR="00000000" w:rsidRPr="00000000">
        <w:rPr>
          <w:rtl w:val="0"/>
        </w:rPr>
      </w:r>
    </w:p>
    <w:p w:rsidR="00000000" w:rsidDel="00000000" w:rsidP="00000000" w:rsidRDefault="00000000" w:rsidRPr="00000000" w14:paraId="00000128">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w:t>
      </w:r>
    </w:p>
    <w:p w:rsidR="00000000" w:rsidDel="00000000" w:rsidP="00000000" w:rsidRDefault="00000000" w:rsidRPr="00000000" w14:paraId="00000129">
      <w:pPr>
        <w:spacing w:line="276" w:lineRule="auto"/>
        <w:jc w:val="both"/>
        <w:rPr/>
      </w:pPr>
      <w:r w:rsidDel="00000000" w:rsidR="00000000" w:rsidRPr="00000000">
        <w:rPr>
          <w:rtl w:val="0"/>
        </w:rPr>
      </w:r>
    </w:p>
    <w:p w:rsidR="00000000" w:rsidDel="00000000" w:rsidP="00000000" w:rsidRDefault="00000000" w:rsidRPr="00000000" w14:paraId="0000012A">
      <w:pPr>
        <w:spacing w:line="276" w:lineRule="auto"/>
        <w:jc w:val="both"/>
        <w:rPr/>
      </w:pPr>
      <w:r w:rsidDel="00000000" w:rsidR="00000000" w:rsidRPr="00000000">
        <w:rPr>
          <w:rtl w:val="0"/>
        </w:rPr>
        <w:t xml:space="preserve">Por último, en cuanto a la diabetes, la mayoría de la población no presenta este diagnóstico, siendo los casos positivos una minoría claramente diferenciada.</w:t>
      </w:r>
    </w:p>
    <w:p w:rsidR="00000000" w:rsidDel="00000000" w:rsidP="00000000" w:rsidRDefault="00000000" w:rsidRPr="00000000" w14:paraId="0000012B">
      <w:pPr>
        <w:spacing w:line="276" w:lineRule="auto"/>
        <w:jc w:val="both"/>
        <w:rPr/>
      </w:pPr>
      <w:r w:rsidDel="00000000" w:rsidR="00000000" w:rsidRPr="00000000">
        <w:rPr>
          <w:rtl w:val="0"/>
        </w:rPr>
      </w:r>
    </w:p>
    <w:p w:rsidR="00000000" w:rsidDel="00000000" w:rsidP="00000000" w:rsidRDefault="00000000" w:rsidRPr="00000000" w14:paraId="0000012C">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jc w:val="both"/>
        <w:rPr/>
      </w:pPr>
      <w:r w:rsidDel="00000000" w:rsidR="00000000" w:rsidRPr="00000000">
        <w:rPr>
          <w:rtl w:val="0"/>
        </w:rPr>
      </w:r>
    </w:p>
    <w:p w:rsidR="00000000" w:rsidDel="00000000" w:rsidP="00000000" w:rsidRDefault="00000000" w:rsidRPr="00000000" w14:paraId="0000012F">
      <w:pPr>
        <w:spacing w:line="276" w:lineRule="auto"/>
        <w:jc w:val="both"/>
        <w:rPr/>
      </w:pPr>
      <w:r w:rsidDel="00000000" w:rsidR="00000000" w:rsidRPr="00000000">
        <w:rPr>
          <w:rtl w:val="0"/>
        </w:rPr>
      </w:r>
    </w:p>
    <w:p w:rsidR="00000000" w:rsidDel="00000000" w:rsidP="00000000" w:rsidRDefault="00000000" w:rsidRPr="00000000" w14:paraId="00000130">
      <w:pPr>
        <w:spacing w:line="276" w:lineRule="auto"/>
        <w:jc w:val="both"/>
        <w:rPr>
          <w:u w:val="single"/>
        </w:rPr>
      </w:pPr>
      <w:r w:rsidDel="00000000" w:rsidR="00000000" w:rsidRPr="00000000">
        <w:rPr>
          <w:b w:val="1"/>
          <w:bCs w:val="1"/>
          <w:u w:val="single"/>
          <w:rtl w:val="0"/>
        </w:rPr>
        <w:t xml:space="preserve">6.2 Análisis bivariante</w:t>
      </w: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t xml:space="preserve">El siguiente análisis es el bivariante, cuyo objetivo es explorar las relaciones entre dos variables y evaluar posibles asociaciones de interés, concretamente HadHeartAttack y HadAngina. Para ello, se combinan herramientas de visualización gráfica con pruebas estadísticas, lo que permite obtener una visión más completa y robusta de las asociaciones observadas. A continuación, se presentan los resultados organizados en función de las hipótesis planteadas.</w:t>
      </w:r>
      <w:r w:rsidDel="00000000" w:rsidR="00000000" w:rsidRPr="00000000">
        <w:rPr>
          <w:rtl w:val="0"/>
        </w:rPr>
      </w:r>
    </w:p>
    <w:p w:rsidR="00000000" w:rsidDel="00000000" w:rsidP="00000000" w:rsidRDefault="00000000" w:rsidRPr="00000000" w14:paraId="00000132">
      <w:pPr>
        <w:spacing w:line="240" w:lineRule="auto"/>
        <w:jc w:val="both"/>
        <w:rPr/>
      </w:pPr>
      <w:r w:rsidDel="00000000" w:rsidR="00000000" w:rsidRPr="00000000">
        <w:rPr>
          <w:rtl w:val="0"/>
        </w:rPr>
      </w:r>
    </w:p>
    <w:p w:rsidR="00000000" w:rsidDel="00000000" w:rsidP="00000000" w:rsidRDefault="00000000" w:rsidRPr="00000000" w14:paraId="00000133">
      <w:pPr>
        <w:spacing w:after="319" w:line="240" w:lineRule="auto"/>
        <w:jc w:val="both"/>
        <w:rPr/>
      </w:pPr>
      <w:r w:rsidDel="00000000" w:rsidR="00000000" w:rsidRPr="00000000">
        <w:rPr>
          <w:b w:val="1"/>
          <w:bCs w:val="1"/>
          <w:rtl w:val="0"/>
        </w:rPr>
        <w:t xml:space="preserve">Hipótesis 1</w:t>
      </w:r>
      <w:r w:rsidDel="00000000" w:rsidR="00000000" w:rsidRPr="00000000">
        <w:rPr>
          <w:rtl w:val="0"/>
        </w:rPr>
        <w:t xml:space="preserve">: Relación entre salud general y enfermedades cardiovasculares</w:t>
      </w:r>
      <w:r w:rsidDel="00000000" w:rsidR="00000000" w:rsidRPr="00000000">
        <w:rPr>
          <w:rtl w:val="0"/>
        </w:rPr>
      </w:r>
    </w:p>
    <w:p w:rsidR="00000000" w:rsidDel="00000000" w:rsidP="00000000" w:rsidRDefault="00000000" w:rsidRPr="00000000" w14:paraId="00000134">
      <w:pPr>
        <w:spacing w:after="319" w:line="240" w:lineRule="auto"/>
        <w:jc w:val="both"/>
        <w:rPr/>
      </w:pPr>
      <w:r w:rsidDel="00000000" w:rsidR="00000000" w:rsidRPr="00000000">
        <w:rPr>
          <w:rtl w:val="0"/>
        </w:rPr>
        <w:t xml:space="preserve">A partir de las representaciones gráficas, se observa que el porcentaje de individuos que han sufrido un ataque al corazón o angina aumenta progresivamente a medida que empeora la percepción de la salud general (GeneralHealth). Esta tendencia es consistente para ambas variables cardiovasculares, mostrando una relación clara y positiva.</w:t>
      </w:r>
      <w:r w:rsidDel="00000000" w:rsidR="00000000" w:rsidRPr="00000000">
        <w:rPr>
          <w:rtl w:val="0"/>
        </w:rPr>
      </w:r>
    </w:p>
    <w:p w:rsidR="00000000" w:rsidDel="00000000" w:rsidP="00000000" w:rsidRDefault="00000000" w:rsidRPr="00000000" w14:paraId="0000013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1 queda confirmada visualmente. Las personas con peor salud general presentan un mayor riesgo de padecer enfermedades cardiovasculares.</w:t>
      </w:r>
      <w:r w:rsidDel="00000000" w:rsidR="00000000" w:rsidRPr="00000000">
        <w:rPr>
          <w:rtl w:val="0"/>
        </w:rPr>
      </w:r>
    </w:p>
    <w:p w:rsidR="00000000" w:rsidDel="00000000" w:rsidP="00000000" w:rsidRDefault="00000000" w:rsidRPr="00000000" w14:paraId="00000136">
      <w:pPr>
        <w:spacing w:after="319" w:line="240" w:lineRule="auto"/>
        <w:jc w:val="both"/>
        <w:rPr/>
      </w:pPr>
      <w:r w:rsidDel="00000000" w:rsidR="00000000" w:rsidRPr="00000000">
        <w:rPr>
          <w:b w:val="1"/>
          <w:bCs w:val="1"/>
          <w:rtl w:val="0"/>
        </w:rPr>
        <w:t xml:space="preserve">Hipótesis 2</w:t>
      </w:r>
      <w:r w:rsidDel="00000000" w:rsidR="00000000" w:rsidRPr="00000000">
        <w:rPr>
          <w:rtl w:val="0"/>
        </w:rPr>
        <w:t xml:space="preserve">: Influencia del sexo y la edad en el riesgo cardiovascular</w:t>
      </w:r>
      <w:r w:rsidDel="00000000" w:rsidR="00000000" w:rsidRPr="00000000">
        <w:rPr>
          <w:rtl w:val="0"/>
        </w:rPr>
      </w:r>
    </w:p>
    <w:p w:rsidR="00000000" w:rsidDel="00000000" w:rsidP="00000000" w:rsidRDefault="00000000" w:rsidRPr="00000000" w14:paraId="00000137">
      <w:pPr>
        <w:spacing w:after="240" w:line="240" w:lineRule="auto"/>
        <w:jc w:val="both"/>
        <w:rPr/>
      </w:pPr>
      <w:r w:rsidDel="00000000" w:rsidR="00000000" w:rsidRPr="00000000">
        <w:rPr>
          <w:rtl w:val="0"/>
        </w:rPr>
        <w:t xml:space="preserve">En cuanto al sexo, las comparaciones entre hombres y mujeres muestran diferencias leves en la prevalencia de ataque al corazón y angina. Sin embargo, estas diferencias no resultan estadísticamente significativas, por lo que no se puede afirmar una asociación clara entre el sexo y estas patologías.</w:t>
      </w:r>
      <w:r w:rsidDel="00000000" w:rsidR="00000000" w:rsidRPr="00000000">
        <w:rPr>
          <w:rtl w:val="0"/>
        </w:rPr>
      </w:r>
    </w:p>
    <w:p w:rsidR="00000000" w:rsidDel="00000000" w:rsidP="00000000" w:rsidRDefault="00000000" w:rsidRPr="00000000" w14:paraId="00000138">
      <w:pPr>
        <w:spacing w:after="240" w:line="240" w:lineRule="auto"/>
        <w:jc w:val="both"/>
        <w:rPr/>
      </w:pPr>
      <w:r w:rsidDel="00000000" w:rsidR="00000000" w:rsidRPr="00000000">
        <w:rPr>
          <w:rtl w:val="0"/>
        </w:rPr>
        <w:t xml:space="preserve">Por el contrario, la edad muestra un patrón muy definido. El porcentaje de casos positivos, tanto de ataque al corazón como de angina, aumenta de forma clara conforme se incrementa la edad, lo que indica una relación positiva entre envejecimiento y riesgo cardiovascular.</w:t>
      </w:r>
      <w:r w:rsidDel="00000000" w:rsidR="00000000" w:rsidRPr="00000000">
        <w:rPr>
          <w:rtl w:val="0"/>
        </w:rPr>
      </w:r>
    </w:p>
    <w:p w:rsidR="00000000" w:rsidDel="00000000" w:rsidP="00000000" w:rsidRDefault="00000000" w:rsidRPr="00000000" w14:paraId="00000139">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Las personas de mayor edad presentan un mayor riesgo de enfermedades cardiovasculares. El sexo, aunque muestra ligeras diferencias, no parece ser un factor determinante en este conjunto de datos.</w:t>
      </w:r>
      <w:r w:rsidDel="00000000" w:rsidR="00000000" w:rsidRPr="00000000">
        <w:rPr>
          <w:rtl w:val="0"/>
        </w:rPr>
      </w:r>
    </w:p>
    <w:p w:rsidR="00000000" w:rsidDel="00000000" w:rsidP="00000000" w:rsidRDefault="00000000" w:rsidRPr="00000000" w14:paraId="0000013A">
      <w:pPr>
        <w:spacing w:after="319" w:line="240" w:lineRule="auto"/>
        <w:jc w:val="both"/>
        <w:rPr/>
      </w:pPr>
      <w:r w:rsidDel="00000000" w:rsidR="00000000" w:rsidRPr="00000000">
        <w:rPr>
          <w:b w:val="1"/>
          <w:bCs w:val="1"/>
          <w:rtl w:val="0"/>
        </w:rPr>
        <w:t xml:space="preserve">Hipótesis 3</w:t>
      </w:r>
      <w:r w:rsidDel="00000000" w:rsidR="00000000" w:rsidRPr="00000000">
        <w:rPr>
          <w:rtl w:val="0"/>
        </w:rPr>
        <w:t xml:space="preserve">: Hábitos de vida y su relación con las enfermedades cardiovasculares</w:t>
      </w:r>
      <w:r w:rsidDel="00000000" w:rsidR="00000000" w:rsidRPr="00000000">
        <w:rPr>
          <w:rtl w:val="0"/>
        </w:rPr>
      </w:r>
    </w:p>
    <w:p w:rsidR="00000000" w:rsidDel="00000000" w:rsidP="00000000" w:rsidRDefault="00000000" w:rsidRPr="00000000" w14:paraId="0000013B">
      <w:pPr>
        <w:spacing w:after="240" w:line="240" w:lineRule="auto"/>
        <w:jc w:val="both"/>
        <w:rPr/>
      </w:pPr>
      <w:r w:rsidDel="00000000" w:rsidR="00000000" w:rsidRPr="00000000">
        <w:rPr>
          <w:rtl w:val="0"/>
        </w:rPr>
        <w:t xml:space="preserve">El análisis de la actividad física revela que los individuos que no realizan PhysicalActivities presentan un mayor porcentaje de casos positivos, tanto de ataque al corazón como de angina, lo que sugiere un efecto protector del ejercicio regular.</w:t>
      </w:r>
      <w:r w:rsidDel="00000000" w:rsidR="00000000" w:rsidRPr="00000000">
        <w:rPr>
          <w:rtl w:val="0"/>
        </w:rPr>
      </w:r>
    </w:p>
    <w:p w:rsidR="00000000" w:rsidDel="00000000" w:rsidP="00000000" w:rsidRDefault="00000000" w:rsidRPr="00000000" w14:paraId="0000013C">
      <w:pPr>
        <w:spacing w:after="240" w:line="240" w:lineRule="auto"/>
        <w:jc w:val="both"/>
        <w:rPr/>
      </w:pPr>
      <w:r w:rsidDel="00000000" w:rsidR="00000000" w:rsidRPr="00000000">
        <w:rPr>
          <w:rtl w:val="0"/>
        </w:rPr>
        <w:t xml:space="preserve">Respecto al consumo de tabaco (SmokerStatus), se observa que el porcentaje de casos positivos aumenta con el consumo, destacando que los exfumadores presentan un riesgo similar o incluso superior al de quienes fuman algunos días, lo que podría estar relacionado con la duración o intensidad del consumo previo.</w:t>
      </w:r>
      <w:r w:rsidDel="00000000" w:rsidR="00000000" w:rsidRPr="00000000">
        <w:rPr>
          <w:rtl w:val="0"/>
        </w:rPr>
      </w:r>
    </w:p>
    <w:p w:rsidR="00000000" w:rsidDel="00000000" w:rsidP="00000000" w:rsidRDefault="00000000" w:rsidRPr="00000000" w14:paraId="0000013D">
      <w:pPr>
        <w:spacing w:after="240" w:line="240" w:lineRule="auto"/>
        <w:jc w:val="both"/>
        <w:rPr/>
      </w:pPr>
      <w:r w:rsidDel="00000000" w:rsidR="00000000" w:rsidRPr="00000000">
        <w:rPr>
          <w:rtl w:val="0"/>
        </w:rPr>
        <w:t xml:space="preserve">En el caso del uso de cigarrillos electrónicos (ECigaretteUsage), no se identifica una relación positiva con las enfermedades cardiovasculares. De hecho, el porcentaje de casos positivos disminuye entre los usuarios frecuentes, lo que sugiere la ausencia de una asociación clara en este conjunto de datos.</w:t>
      </w:r>
      <w:r w:rsidDel="00000000" w:rsidR="00000000" w:rsidRPr="00000000">
        <w:rPr>
          <w:rtl w:val="0"/>
        </w:rPr>
      </w:r>
    </w:p>
    <w:p w:rsidR="00000000" w:rsidDel="00000000" w:rsidP="00000000" w:rsidRDefault="00000000" w:rsidRPr="00000000" w14:paraId="0000013E">
      <w:pPr>
        <w:spacing w:after="240" w:line="240" w:lineRule="auto"/>
        <w:jc w:val="both"/>
        <w:rPr/>
      </w:pPr>
      <w:r w:rsidDel="00000000" w:rsidR="00000000" w:rsidRPr="00000000">
        <w:rPr>
          <w:rtl w:val="0"/>
        </w:rPr>
        <w:t xml:space="preserve">Por último, el análisis de las horas de sueño (SleepHours) muestra resultados mixtos. Visualmente, los diagramas de caja presentan medianas y rangos similares entre los grupos con y sin enfermedad cardiovascular, así como la presencia de outliers en ambos casos. No obstante, las pruebas estadísticas aportan matices importantes:</w:t>
      </w:r>
      <w:r w:rsidDel="00000000" w:rsidR="00000000" w:rsidRPr="00000000">
        <w:rPr>
          <w:rtl w:val="0"/>
        </w:rPr>
      </w:r>
    </w:p>
    <w:p w:rsidR="00000000" w:rsidDel="00000000" w:rsidP="00000000" w:rsidRDefault="00000000" w:rsidRPr="00000000" w14:paraId="0000013F">
      <w:pPr>
        <w:spacing w:after="240" w:line="240" w:lineRule="auto"/>
        <w:ind w:left="720" w:firstLine="0"/>
        <w:jc w:val="both"/>
        <w:rPr/>
      </w:pPr>
      <w:r w:rsidDel="00000000" w:rsidR="00000000" w:rsidRPr="00000000">
        <w:rPr>
          <w:rtl w:val="0"/>
        </w:rPr>
        <w:tab/>
        <w:t xml:space="preserve">•</w:t>
        <w:tab/>
        <w:t xml:space="preserve">Para HadHeartAttack, el test de Mann-Whitney U no muestra diferencias estadísticamente significativas (p-value &gt; 0.05).</w:t>
      </w:r>
      <w:r w:rsidDel="00000000" w:rsidR="00000000" w:rsidRPr="00000000">
        <w:rPr>
          <w:rtl w:val="0"/>
        </w:rPr>
      </w:r>
    </w:p>
    <w:p w:rsidR="00000000" w:rsidDel="00000000" w:rsidP="00000000" w:rsidRDefault="00000000" w:rsidRPr="00000000" w14:paraId="00000140">
      <w:pPr>
        <w:spacing w:after="240" w:line="240" w:lineRule="auto"/>
        <w:ind w:left="720" w:firstLine="0"/>
        <w:jc w:val="both"/>
        <w:rPr/>
      </w:pPr>
      <w:r w:rsidDel="00000000" w:rsidR="00000000" w:rsidRPr="00000000">
        <w:rPr>
          <w:rtl w:val="0"/>
        </w:rPr>
        <w:tab/>
        <w:t xml:space="preserve">•</w:t>
        <w:tab/>
        <w:t xml:space="preserve">Para HadAngina, el mismo test sí detecta una diferencia significativa (p-value &lt; 0.05), a pesar de que esta no sea evidente a simple vista en los gráficos.</w:t>
      </w:r>
      <w:r w:rsidDel="00000000" w:rsidR="00000000" w:rsidRPr="00000000">
        <w:rPr>
          <w:rtl w:val="0"/>
        </w:rPr>
      </w:r>
    </w:p>
    <w:p w:rsidR="00000000" w:rsidDel="00000000" w:rsidP="00000000" w:rsidRDefault="00000000" w:rsidRPr="00000000" w14:paraId="00000141">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actividad física y el consumo de tabaco muestran una relación positiva con el riesgo de enfermedades cardiovasculares. El uso de cigarrillos electrónicos no parece incrementar dicho riesgo. En cuanto al sueño, los resultados ponen de manifiesto la importancia de complementar el análisis visual con pruebas estadísticas, ya que se detecta una relación significativa con la angina, pero no con el ataque al corazón.</w:t>
      </w:r>
      <w:r w:rsidDel="00000000" w:rsidR="00000000" w:rsidRPr="00000000">
        <w:rPr>
          <w:rtl w:val="0"/>
        </w:rPr>
      </w:r>
    </w:p>
    <w:p w:rsidR="00000000" w:rsidDel="00000000" w:rsidP="00000000" w:rsidRDefault="00000000" w:rsidRPr="00000000" w14:paraId="00000142">
      <w:pPr>
        <w:spacing w:after="319" w:line="240" w:lineRule="auto"/>
        <w:jc w:val="both"/>
        <w:rPr/>
      </w:pPr>
      <w:r w:rsidDel="00000000" w:rsidR="00000000" w:rsidRPr="00000000">
        <w:rPr>
          <w:b w:val="1"/>
          <w:bCs w:val="1"/>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43">
      <w:pPr>
        <w:spacing w:after="240" w:line="240" w:lineRule="auto"/>
        <w:jc w:val="both"/>
        <w:rPr/>
      </w:pPr>
      <w:r w:rsidDel="00000000" w:rsidR="00000000" w:rsidRPr="00000000">
        <w:rPr>
          <w:rtl w:val="0"/>
        </w:rPr>
        <w:t xml:space="preserve">El análisis del IMC categorizado muestra que el porcentaje de casos positivos aumenta conforme se incrementa el peso corporal, tanto para el ataque al corazón como para la angina. De forma interesante, también se observa un aumento del riesgo en personas con bajo peso, lo que sugiere la influencia de otros factores de riesgo subyacentes.</w:t>
      </w:r>
      <w:r w:rsidDel="00000000" w:rsidR="00000000" w:rsidRPr="00000000">
        <w:rPr>
          <w:rtl w:val="0"/>
        </w:rPr>
      </w:r>
    </w:p>
    <w:p w:rsidR="00000000" w:rsidDel="00000000" w:rsidP="00000000" w:rsidRDefault="00000000" w:rsidRPr="00000000" w14:paraId="00000144">
      <w:pPr>
        <w:spacing w:after="240" w:line="240" w:lineRule="auto"/>
        <w:jc w:val="both"/>
        <w:rPr/>
      </w:pPr>
      <w:r w:rsidDel="00000000" w:rsidR="00000000" w:rsidRPr="00000000">
        <w:rPr>
          <w:rtl w:val="0"/>
        </w:rPr>
        <w:t xml:space="preserve">Asimismo, la presencia de diabetes (Diabetes_binary) se asocia claramente con un mayor porcentaje de enfermedades cardiovasculares, evidenciando una relación positiva para ambas variables analizadas.</w:t>
      </w:r>
      <w:r w:rsidDel="00000000" w:rsidR="00000000" w:rsidRPr="00000000">
        <w:rPr>
          <w:rtl w:val="0"/>
        </w:rPr>
      </w:r>
    </w:p>
    <w:p w:rsidR="00000000" w:rsidDel="00000000" w:rsidP="00000000" w:rsidRDefault="00000000" w:rsidRPr="00000000" w14:paraId="0000014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4 queda confirmada visualmente. Tanto un IMC elevado como la presencia de diabetes se asocian con un mayor riesgo de padecer enfermedades cardiovasculares.</w:t>
      </w:r>
      <w:r w:rsidDel="00000000" w:rsidR="00000000" w:rsidRPr="00000000">
        <w:rPr>
          <w:rtl w:val="0"/>
        </w:rPr>
      </w:r>
    </w:p>
    <w:p w:rsidR="00000000" w:rsidDel="00000000" w:rsidP="00000000" w:rsidRDefault="00000000" w:rsidRPr="00000000" w14:paraId="00000146">
      <w:pPr>
        <w:spacing w:after="240" w:line="240" w:lineRule="auto"/>
        <w:jc w:val="both"/>
        <w:rPr/>
      </w:pPr>
      <w:r w:rsidDel="00000000" w:rsidR="00000000" w:rsidRPr="00000000">
        <w:rPr>
          <w:rtl w:val="0"/>
        </w:rPr>
        <w:t xml:space="preserve">En conjunto, el análisis bivariante permite identificar relaciones relevantes entre factores sociodemográficos, hábitos de vida y condiciones de salud con la presencia de enfermedades cardiovasculares, reforzando los hallazgos del análisis univariante y proporcionando una base sólida para análisis multivariantes posteriores.</w:t>
      </w:r>
      <w:r w:rsidDel="00000000" w:rsidR="00000000" w:rsidRPr="00000000">
        <w:rPr>
          <w:rtl w:val="0"/>
        </w:rPr>
      </w:r>
    </w:p>
    <w:p w:rsidR="00000000" w:rsidDel="00000000" w:rsidP="00000000" w:rsidRDefault="00000000" w:rsidRPr="00000000" w14:paraId="00000147">
      <w:pPr>
        <w:spacing w:line="276" w:lineRule="auto"/>
        <w:jc w:val="both"/>
        <w:rPr/>
      </w:pPr>
      <w:r w:rsidDel="00000000" w:rsidR="00000000" w:rsidRPr="00000000">
        <w:rPr>
          <w:rtl w:val="0"/>
        </w:rPr>
      </w:r>
    </w:p>
    <w:p w:rsidR="00000000" w:rsidDel="00000000" w:rsidP="00000000" w:rsidRDefault="00000000" w:rsidRPr="00000000" w14:paraId="00000148">
      <w:pPr>
        <w:spacing w:line="276" w:lineRule="auto"/>
        <w:jc w:val="both"/>
        <w:rPr>
          <w:u w:val="single"/>
        </w:rPr>
      </w:pPr>
      <w:r w:rsidDel="00000000" w:rsidR="00000000" w:rsidRPr="00000000">
        <w:rPr>
          <w:b w:val="1"/>
          <w:bCs w:val="1"/>
          <w:u w:val="single"/>
          <w:rtl w:val="0"/>
        </w:rPr>
        <w:t xml:space="preserve">6.3 Análisis multivariante</w:t>
      </w:r>
      <w:r w:rsidDel="00000000" w:rsidR="00000000" w:rsidRPr="00000000">
        <w:rPr>
          <w:rtl w:val="0"/>
        </w:rPr>
      </w:r>
    </w:p>
    <w:p w:rsidR="00000000" w:rsidDel="00000000" w:rsidP="00000000" w:rsidRDefault="00000000" w:rsidRPr="00000000" w14:paraId="00000149">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p>
    <w:p w:rsidR="00000000" w:rsidDel="00000000" w:rsidP="00000000" w:rsidRDefault="00000000" w:rsidRPr="00000000" w14:paraId="0000014A">
      <w:pPr>
        <w:spacing w:line="276" w:lineRule="auto"/>
        <w:jc w:val="both"/>
        <w:rPr/>
      </w:pPr>
      <w:r w:rsidDel="00000000" w:rsidR="00000000" w:rsidRPr="00000000">
        <w:rPr>
          <w:rtl w:val="0"/>
        </w:rPr>
      </w:r>
    </w:p>
    <w:p w:rsidR="00000000" w:rsidDel="00000000" w:rsidP="00000000" w:rsidRDefault="00000000" w:rsidRPr="00000000" w14:paraId="0000014B">
      <w:pPr>
        <w:spacing w:after="319" w:line="259" w:lineRule="auto"/>
        <w:rPr>
          <w:rFonts w:ascii="Times New Roman" w:cs="Times New Roman" w:eastAsia="Times New Roman" w:hAnsi="Times New Roman"/>
        </w:rPr>
      </w:pPr>
      <w:r w:rsidDel="00000000" w:rsidR="00000000" w:rsidRPr="00000000">
        <w:rPr>
          <w:b w:val="1"/>
          <w:bCs w:val="1"/>
          <w:rtl w:val="0"/>
        </w:rPr>
        <w:t xml:space="preserve">Hipótesis 1: </w:t>
      </w:r>
      <w:r w:rsidDel="00000000" w:rsidR="00000000" w:rsidRPr="00000000">
        <w:rPr>
          <w:rtl w:val="0"/>
        </w:rPr>
        <w:t xml:space="preserve">Relación entre salud general y enfermedades cardiovasculares</w:t>
      </w:r>
      <w:r w:rsidDel="00000000" w:rsidR="00000000" w:rsidRPr="00000000">
        <w:rPr>
          <w:rtl w:val="0"/>
        </w:rPr>
      </w:r>
    </w:p>
    <w:p w:rsidR="00000000" w:rsidDel="00000000" w:rsidP="00000000" w:rsidRDefault="00000000" w:rsidRPr="00000000" w14:paraId="0000014C">
      <w:pPr>
        <w:spacing w:after="160" w:line="259" w:lineRule="auto"/>
        <w:jc w:val="both"/>
        <w:rPr/>
      </w:pPr>
      <w:r w:rsidDel="00000000" w:rsidR="00000000" w:rsidRPr="00000000">
        <w:rPr>
          <w:rtl w:val="0"/>
        </w:rPr>
        <w:t xml:space="preserve">A través de los gráficos establecidos en el análisis multivariante, es preciso observar como la salud general de los individuos es clave a la hora de tener en cuenta una posibilidad mayor o menor de este tipo de enfermedades, dejando en claro también que el tener un horario considerado “sano” por la medicina es una variable destacable a la par, puesto que esta clase de enfermedades se ven agravadas por la falta de sueño o la recurrencia de este.</w:t>
      </w:r>
    </w:p>
    <w:p w:rsidR="00000000" w:rsidDel="00000000" w:rsidP="00000000" w:rsidRDefault="00000000" w:rsidRPr="00000000" w14:paraId="0000014D">
      <w:pPr>
        <w:spacing w:after="160" w:line="259" w:lineRule="auto"/>
        <w:jc w:val="both"/>
        <w:rPr/>
      </w:pPr>
      <w:r w:rsidDel="00000000" w:rsidR="00000000" w:rsidRPr="00000000">
        <w:rPr>
          <w:rtl w:val="0"/>
        </w:rPr>
      </w:r>
    </w:p>
    <w:p w:rsidR="00000000" w:rsidDel="00000000" w:rsidP="00000000" w:rsidRDefault="00000000" w:rsidRPr="00000000" w14:paraId="0000014E">
      <w:pPr>
        <w:spacing w:after="160" w:line="259" w:lineRule="auto"/>
        <w:jc w:val="both"/>
        <w:rPr/>
      </w:pPr>
      <w:r w:rsidDel="00000000" w:rsidR="00000000" w:rsidRPr="00000000">
        <w:rPr>
          <w:rtl w:val="0"/>
        </w:rPr>
      </w:r>
    </w:p>
    <w:p w:rsidR="00000000" w:rsidDel="00000000" w:rsidP="00000000" w:rsidRDefault="00000000" w:rsidRPr="00000000" w14:paraId="0000014F">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0">
      <w:pPr>
        <w:spacing w:after="160" w:line="240" w:lineRule="auto"/>
        <w:jc w:val="both"/>
        <w:rPr>
          <w:rFonts w:ascii="Times New Roman" w:cs="Times New Roman" w:eastAsia="Times New Roman" w:hAnsi="Times New Roman"/>
        </w:rPr>
      </w:pPr>
      <w:r w:rsidDel="00000000" w:rsidR="00000000" w:rsidRPr="00000000">
        <w:rPr>
          <w:rtl w:val="0"/>
        </w:rPr>
        <w:t xml:space="preserve">La hipótesis 1 queda de vuelta confirmada, ya que incluso con variables extras que podemos añadir al gráfico, como lo son las horas de sueño, sigue siendo un problema evidente que recae sobre aquellas personas cuya salud general es más deficiente.</w:t>
      </w:r>
      <w:r w:rsidDel="00000000" w:rsidR="00000000" w:rsidRPr="00000000">
        <w:rPr>
          <w:rtl w:val="0"/>
        </w:rPr>
      </w:r>
    </w:p>
    <w:p w:rsidR="00000000" w:rsidDel="00000000" w:rsidP="00000000" w:rsidRDefault="00000000" w:rsidRPr="00000000" w14:paraId="00000151">
      <w:pPr>
        <w:spacing w:after="319" w:line="240"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2: </w:t>
      </w:r>
      <w:r w:rsidDel="00000000" w:rsidR="00000000" w:rsidRPr="00000000">
        <w:rPr>
          <w:rtl w:val="0"/>
        </w:rPr>
        <w:t xml:space="preserve">Influencia del sexo y la edad en el riesgo cardiovascular</w:t>
      </w:r>
      <w:r w:rsidDel="00000000" w:rsidR="00000000" w:rsidRPr="00000000">
        <w:rPr>
          <w:rtl w:val="0"/>
        </w:rPr>
      </w:r>
    </w:p>
    <w:p w:rsidR="00000000" w:rsidDel="00000000" w:rsidP="00000000" w:rsidRDefault="00000000" w:rsidRPr="00000000" w14:paraId="00000152">
      <w:pPr>
        <w:spacing w:after="319" w:line="240" w:lineRule="auto"/>
        <w:jc w:val="both"/>
        <w:rPr>
          <w:rFonts w:ascii="Times New Roman" w:cs="Times New Roman" w:eastAsia="Times New Roman" w:hAnsi="Times New Roman"/>
        </w:rPr>
      </w:pPr>
      <w:r w:rsidDel="00000000" w:rsidR="00000000" w:rsidRPr="00000000">
        <w:rPr>
          <w:rtl w:val="0"/>
        </w:rPr>
        <w:t xml:space="preserve">En este caso, se puede hacer un gráfico simple que represente esta hipótesis. En todos los rangos de edad podemos vislumbrar con evidencias como los hombres, en cualquier caso, tienen más probabilidades, más que las mujeres, de mostrar este tipo de tendencias referidas a un riesgo cardiovascular. Además también es evidente como la tendencia a este tipo de riesgos se ve agravada por la edad, a medida que esta avanza.</w:t>
      </w:r>
      <w:r w:rsidDel="00000000" w:rsidR="00000000" w:rsidRPr="00000000">
        <w:rPr>
          <w:rtl w:val="0"/>
        </w:rPr>
      </w:r>
    </w:p>
    <w:p w:rsidR="00000000" w:rsidDel="00000000" w:rsidP="00000000" w:rsidRDefault="00000000" w:rsidRPr="00000000" w14:paraId="00000153">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4">
      <w:pPr>
        <w:spacing w:after="160" w:line="259" w:lineRule="auto"/>
        <w:jc w:val="both"/>
        <w:rPr>
          <w:rFonts w:ascii="Times New Roman" w:cs="Times New Roman" w:eastAsia="Times New Roman" w:hAnsi="Times New Roman"/>
        </w:rPr>
      </w:pPr>
      <w:r w:rsidDel="00000000" w:rsidR="00000000" w:rsidRPr="00000000">
        <w:rPr>
          <w:rtl w:val="0"/>
        </w:rPr>
        <w:t xml:space="preserve">La hipótesis 2 queda confirmada, puesto que con un solo gráfico vemos claramente esa diferenciación que planteábamos, dependiendo del sexo y la edad de los individuos. Con esto, hemos podido observar que las enfermedades cardiovasculares afectan más a un hombre adulto que a una mujer joven.</w:t>
      </w:r>
      <w:r w:rsidDel="00000000" w:rsidR="00000000" w:rsidRPr="00000000">
        <w:rPr>
          <w:rtl w:val="0"/>
        </w:rPr>
      </w:r>
    </w:p>
    <w:p w:rsidR="00000000" w:rsidDel="00000000" w:rsidP="00000000" w:rsidRDefault="00000000" w:rsidRPr="00000000" w14:paraId="00000155">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3: </w:t>
      </w:r>
      <w:r w:rsidDel="00000000" w:rsidR="00000000" w:rsidRPr="00000000">
        <w:rPr>
          <w:rtl w:val="0"/>
        </w:rPr>
        <w:t xml:space="preserve">Hábitos de vida y su relación con las enfermedades cardiovasculares</w:t>
      </w:r>
      <w:r w:rsidDel="00000000" w:rsidR="00000000" w:rsidRPr="00000000">
        <w:rPr>
          <w:rtl w:val="0"/>
        </w:rPr>
      </w:r>
    </w:p>
    <w:p w:rsidR="00000000" w:rsidDel="00000000" w:rsidP="00000000" w:rsidRDefault="00000000" w:rsidRPr="00000000" w14:paraId="00000156">
      <w:pPr>
        <w:spacing w:after="160" w:line="259" w:lineRule="auto"/>
        <w:jc w:val="both"/>
        <w:rPr>
          <w:rFonts w:ascii="Times New Roman" w:cs="Times New Roman" w:eastAsia="Times New Roman" w:hAnsi="Times New Roman"/>
        </w:rPr>
      </w:pPr>
      <w:r w:rsidDel="00000000" w:rsidR="00000000" w:rsidRPr="00000000">
        <w:rPr>
          <w:rtl w:val="0"/>
        </w:rPr>
        <w:t xml:space="preserve">Con respecto al análisis multivariante, podemos observar el gráfico sobre el impacto del tabaquismo y el cigarrillo electrónico en este tipo de enfermedades. Visualizamos como el uso de ambos con frecuencia es claramente un problema muy grande en referencia a todo este tipo de problemas médicos, a la vez que el consumo nulo de ambos de ellos es lo mejor para la salud.</w:t>
      </w:r>
      <w:r w:rsidDel="00000000" w:rsidR="00000000" w:rsidRPr="00000000">
        <w:rPr>
          <w:rtl w:val="0"/>
        </w:rPr>
      </w:r>
    </w:p>
    <w:p w:rsidR="00000000" w:rsidDel="00000000" w:rsidP="00000000" w:rsidRDefault="00000000" w:rsidRPr="00000000" w14:paraId="00000157">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8">
      <w:pPr>
        <w:spacing w:after="160" w:line="259" w:lineRule="auto"/>
        <w:jc w:val="both"/>
        <w:rPr>
          <w:rFonts w:ascii="Times New Roman" w:cs="Times New Roman" w:eastAsia="Times New Roman" w:hAnsi="Times New Roman"/>
        </w:rPr>
      </w:pPr>
      <w:r w:rsidDel="00000000" w:rsidR="00000000" w:rsidRPr="00000000">
        <w:rPr>
          <w:rtl w:val="0"/>
        </w:rPr>
        <w:t xml:space="preserve">La hipótesis 3 queda confirmada también, puesto que hemos visto que este tipo de malos hábitos para la salud, agravan la probabilidad de presentar este tipo de enfermedades, peligrosas para la salud de las personas y que puede poner vidas en riesgo.</w:t>
      </w:r>
      <w:r w:rsidDel="00000000" w:rsidR="00000000" w:rsidRPr="00000000">
        <w:rPr>
          <w:rtl w:val="0"/>
        </w:rPr>
      </w:r>
    </w:p>
    <w:p w:rsidR="00000000" w:rsidDel="00000000" w:rsidP="00000000" w:rsidRDefault="00000000" w:rsidRPr="00000000" w14:paraId="00000159">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5A">
      <w:pPr>
        <w:spacing w:after="160" w:line="259" w:lineRule="auto"/>
        <w:jc w:val="both"/>
        <w:rPr>
          <w:rFonts w:ascii="Times New Roman" w:cs="Times New Roman" w:eastAsia="Times New Roman" w:hAnsi="Times New Roman"/>
        </w:rPr>
      </w:pPr>
      <w:r w:rsidDel="00000000" w:rsidR="00000000" w:rsidRPr="00000000">
        <w:rPr>
          <w:rtl w:val="0"/>
        </w:rPr>
        <w:t xml:space="preserve">En este caso, esta hipótesis se ve confirmada por gráficos previos y </w:t>
      </w:r>
      <w:r w:rsidDel="00000000" w:rsidR="00000000" w:rsidRPr="00000000">
        <w:rPr>
          <w:rtl w:val="0"/>
        </w:rPr>
        <w:t xml:space="preserve">reforzad</w:t>
      </w:r>
      <w:r w:rsidDel="00000000" w:rsidR="00000000" w:rsidRPr="00000000">
        <w:rPr>
          <w:rtl w:val="0"/>
        </w:rPr>
        <w:t xml:space="preserve">a con el </w:t>
      </w:r>
      <w:r w:rsidDel="00000000" w:rsidR="00000000" w:rsidRPr="00000000">
        <w:rPr>
          <w:i w:val="1"/>
          <w:iCs w:val="1"/>
          <w:rtl w:val="0"/>
        </w:rPr>
        <w:t xml:space="preserve">heatmap</w:t>
      </w:r>
      <w:r w:rsidDel="00000000" w:rsidR="00000000" w:rsidRPr="00000000">
        <w:rPr>
          <w:rtl w:val="0"/>
        </w:rPr>
        <w:t xml:space="preserve">. Es claramente visible como el IMC, y sobre todo la diabetes, tienen una relación clara con las enfermedades cardiovasculares, por lo que, la gente con un IMC insano, o bien personas que padezcan de diabetes, son claramente más propensas a sufrir de este tipo de riesgos médicos.</w:t>
      </w:r>
      <w:r w:rsidDel="00000000" w:rsidR="00000000" w:rsidRPr="00000000">
        <w:rPr>
          <w:rtl w:val="0"/>
        </w:rPr>
      </w:r>
    </w:p>
    <w:p w:rsidR="00000000" w:rsidDel="00000000" w:rsidP="00000000" w:rsidRDefault="00000000" w:rsidRPr="00000000" w14:paraId="0000015B">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C">
      <w:pPr>
        <w:spacing w:after="160" w:line="259" w:lineRule="auto"/>
        <w:jc w:val="both"/>
        <w:rPr/>
      </w:pPr>
      <w:bookmarkStart w:colFirst="0" w:colLast="0" w:name="_pq8fafexv3bu" w:id="0"/>
      <w:bookmarkEnd w:id="0"/>
      <w:r w:rsidDel="00000000" w:rsidR="00000000" w:rsidRPr="00000000">
        <w:rPr>
          <w:rtl w:val="0"/>
        </w:rPr>
        <w:t xml:space="preserve">Esta hipótesis se ha vuelto a confirmar con el análisis multivariante, después de haberlo visto con el análisis bivariante. Por ello, es importante intentar llevar una mayor vida sana, más si la persona padece de estas patologías comentadas anteriormente.</w:t>
      </w:r>
    </w:p>
    <w:p w:rsidR="00000000" w:rsidDel="00000000" w:rsidP="00000000" w:rsidRDefault="00000000" w:rsidRPr="00000000" w14:paraId="0000015D">
      <w:pPr>
        <w:spacing w:line="276" w:lineRule="auto"/>
        <w:jc w:val="both"/>
        <w:rPr/>
      </w:pPr>
      <w:r w:rsidDel="00000000" w:rsidR="00000000" w:rsidRPr="00000000">
        <w:rPr>
          <w:rtl w:val="0"/>
        </w:rPr>
      </w:r>
    </w:p>
    <w:p w:rsidR="00000000" w:rsidDel="00000000" w:rsidP="00000000" w:rsidRDefault="00000000" w:rsidRPr="00000000" w14:paraId="0000015E">
      <w:pPr>
        <w:spacing w:line="276" w:lineRule="auto"/>
        <w:jc w:val="both"/>
        <w:rPr>
          <w:b w:val="1"/>
          <w:bCs w:val="1"/>
        </w:rPr>
      </w:pPr>
      <w:r w:rsidDel="00000000" w:rsidR="00000000" w:rsidRPr="00000000">
        <w:rPr>
          <w:b w:val="1"/>
          <w:bCs w:val="1"/>
          <w:rtl w:val="0"/>
        </w:rPr>
        <w:t xml:space="preserve">7. Visualizaciones</w:t>
      </w:r>
    </w:p>
    <w:p w:rsidR="00000000" w:rsidDel="00000000" w:rsidP="00000000" w:rsidRDefault="00000000" w:rsidRPr="00000000" w14:paraId="0000015F">
      <w:pPr>
        <w:spacing w:line="276" w:lineRule="auto"/>
        <w:jc w:val="both"/>
        <w:rPr>
          <w:b w:val="1"/>
          <w:bCs w:val="1"/>
        </w:rPr>
      </w:pPr>
      <w:r w:rsidDel="00000000" w:rsidR="00000000" w:rsidRPr="00000000">
        <w:rPr>
          <w:rtl w:val="0"/>
        </w:rPr>
      </w:r>
    </w:p>
    <w:p w:rsidR="00000000" w:rsidDel="00000000" w:rsidP="00000000" w:rsidRDefault="00000000" w:rsidRPr="00000000" w14:paraId="00000160">
      <w:pPr>
        <w:spacing w:line="276" w:lineRule="auto"/>
        <w:jc w:val="both"/>
        <w:rPr/>
      </w:pPr>
      <w:r w:rsidDel="00000000" w:rsidR="00000000" w:rsidRPr="00000000">
        <w:rPr>
          <w:rtl w:val="0"/>
        </w:rPr>
        <w:t xml:space="preserve">Los gráficos utilizados para este análisis se encuentran en el apartado Anexo. Para visualizarlos, ir a dicho apartado.</w:t>
      </w:r>
    </w:p>
    <w:p w:rsidR="00000000" w:rsidDel="00000000" w:rsidP="00000000" w:rsidRDefault="00000000" w:rsidRPr="00000000" w14:paraId="00000161">
      <w:pPr>
        <w:spacing w:line="276" w:lineRule="auto"/>
        <w:jc w:val="both"/>
        <w:rPr>
          <w:b w:val="1"/>
          <w:bCs w:val="1"/>
        </w:rPr>
      </w:pPr>
      <w:r w:rsidDel="00000000" w:rsidR="00000000" w:rsidRPr="00000000">
        <w:rPr>
          <w:b w:val="1"/>
          <w:bCs w:val="1"/>
          <w:rtl w:val="0"/>
        </w:rPr>
        <w:t xml:space="preserve">8. Conclusiones</w:t>
      </w:r>
    </w:p>
    <w:p w:rsidR="00000000" w:rsidDel="00000000" w:rsidP="00000000" w:rsidRDefault="00000000" w:rsidRPr="00000000" w14:paraId="00000162">
      <w:pPr>
        <w:spacing w:line="276" w:lineRule="auto"/>
        <w:jc w:val="both"/>
        <w:rPr>
          <w:b w:val="1"/>
          <w:bCs w:val="1"/>
        </w:rPr>
      </w:pPr>
      <w:r w:rsidDel="00000000" w:rsidR="00000000" w:rsidRPr="00000000">
        <w:rPr>
          <w:b w:val="1"/>
          <w:bCs w:val="1"/>
          <w:rtl w:val="0"/>
        </w:rPr>
        <w:t xml:space="preserve">9. Recomendaciones</w:t>
      </w:r>
    </w:p>
    <w:p w:rsidR="00000000" w:rsidDel="00000000" w:rsidP="00000000" w:rsidRDefault="00000000" w:rsidRPr="00000000" w14:paraId="00000163">
      <w:pPr>
        <w:spacing w:line="276" w:lineRule="auto"/>
        <w:jc w:val="both"/>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