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color w:val="000000"/>
          <w:sz w:val="24"/>
          <w:szCs w:val="24"/>
        </w:rPr>
        <w:t xml:space="preserve">Student: </w:t>
      </w:r>
      <w:r>
        <w:rPr>
          <w:rFonts w:ascii="Times New Roman" w:cs="Times New Roman" w:eastAsia="Times New Roman" w:hAnsi="Times New Roman"/>
          <w:color w:val="000000"/>
          <w:sz w:val="24"/>
          <w:szCs w:val="24"/>
        </w:rPr>
        <w:t xml:space="preserve">Judith Barrios</w:t>
      </w:r>
    </w:p>
    <w:p>
      <w:pPr>
        <w:spacing w:after="80"/>
      </w:pPr>
      <w:r>
        <w:rPr>
          <w:rFonts w:ascii="Times New Roman" w:cs="Times New Roman" w:eastAsia="Times New Roman" w:hAnsi="Times New Roman"/>
          <w:b/>
          <w:bCs/>
          <w:color w:val="000000"/>
          <w:sz w:val="24"/>
          <w:szCs w:val="24"/>
        </w:rPr>
        <w:t xml:space="preserve">Instructor: </w:t>
      </w:r>
      <w:r>
        <w:rPr>
          <w:rFonts w:ascii="Times New Roman" w:cs="Times New Roman" w:eastAsia="Times New Roman" w:hAnsi="Times New Roman"/>
          <w:color w:val="000000"/>
          <w:sz w:val="24"/>
          <w:szCs w:val="24"/>
        </w:rPr>
        <w:t xml:space="preserve">Tawanda Chiyangwa</w:t>
      </w:r>
    </w:p>
    <w:p>
      <w:pPr>
        <w:spacing w:after="80"/>
      </w:pPr>
      <w:r>
        <w:rPr>
          <w:rFonts w:ascii="Times New Roman" w:cs="Times New Roman" w:eastAsia="Times New Roman" w:hAnsi="Times New Roman"/>
          <w:b/>
          <w:bCs/>
          <w:color w:val="000000"/>
          <w:sz w:val="24"/>
          <w:szCs w:val="24"/>
        </w:rPr>
        <w:t xml:space="preserve">Course: </w:t>
      </w:r>
      <w:r>
        <w:rPr>
          <w:rFonts w:ascii="Times New Roman" w:cs="Times New Roman" w:eastAsia="Times New Roman" w:hAnsi="Times New Roman"/>
          <w:color w:val="000000"/>
          <w:sz w:val="24"/>
          <w:szCs w:val="24"/>
        </w:rPr>
        <w:t xml:space="preserve">ITAI-4370: AI/5G Communications &amp; ORAN Networks</w:t>
      </w:r>
    </w:p>
    <w:p>
      <w:pPr>
        <w:spacing w:after="80"/>
      </w:pPr>
      <w:r>
        <w:rPr>
          <w:rFonts w:ascii="Times New Roman" w:cs="Times New Roman" w:eastAsia="Times New Roman" w:hAnsi="Times New Roman"/>
          <w:b/>
          <w:bCs/>
          <w:color w:val="000000"/>
          <w:sz w:val="24"/>
          <w:szCs w:val="24"/>
        </w:rPr>
        <w:t xml:space="preserve">Assignment: </w:t>
      </w:r>
      <w:r>
        <w:rPr>
          <w:rFonts w:ascii="Times New Roman" w:cs="Times New Roman" w:eastAsia="Times New Roman" w:hAnsi="Times New Roman"/>
          <w:color w:val="000000"/>
          <w:sz w:val="24"/>
          <w:szCs w:val="24"/>
        </w:rPr>
        <w:t xml:space="preserve">Assignment 03</w:t>
      </w:r>
    </w:p>
    <w:p>
      <w:pPr>
        <w:spacing w:after="80"/>
      </w:pPr>
      <w:r>
        <w:rPr>
          <w:rFonts w:ascii="Times New Roman" w:cs="Times New Roman" w:eastAsia="Times New Roman" w:hAnsi="Times New Roman"/>
          <w:b/>
          <w:bCs/>
          <w:color w:val="000000"/>
          <w:sz w:val="24"/>
          <w:szCs w:val="24"/>
        </w:rPr>
        <w:t xml:space="preserve">Date: </w:t>
      </w:r>
      <w:r>
        <w:rPr>
          <w:rFonts w:ascii="Times New Roman" w:cs="Times New Roman" w:eastAsia="Times New Roman" w:hAnsi="Times New Roman"/>
          <w:color w:val="000000"/>
          <w:sz w:val="24"/>
          <w:szCs w:val="24"/>
        </w:rPr>
        <w:t xml:space="preserve">June 22, 2026</w:t>
      </w:r>
    </w:p>
    <w:p>
      <w:pPr>
        <w:spacing w:after="200"/>
      </w:pPr>
      <w:r>
        <w:rPr>
          <w:sz w:val="24"/>
          <w:szCs w:val="24"/>
        </w:rPr>
        <w:t xml:space="preserve"/>
      </w:r>
    </w:p>
    <w:p>
      <w:pPr>
        <w:pStyle w:val="Heading1"/>
        <w:spacing w:after="120" w:before="240"/>
      </w:pPr>
      <w:r>
        <w:rPr>
          <w:rFonts w:ascii="Times New Roman" w:cs="Times New Roman" w:eastAsia="Times New Roman" w:hAnsi="Times New Roman"/>
          <w:b/>
          <w:bCs/>
          <w:color w:val="000000"/>
          <w:sz w:val="24"/>
          <w:szCs w:val="24"/>
        </w:rPr>
        <w:t xml:space="preserve">1. AI/ML Applications in RAN</w:t>
      </w:r>
    </w:p>
    <w:p>
      <w:pPr>
        <w:spacing w:after="200"/>
      </w:pPr>
      <w:r>
        <w:rPr>
          <w:rFonts w:ascii="Times New Roman" w:cs="Times New Roman" w:eastAsia="Times New Roman" w:hAnsi="Times New Roman"/>
          <w:color w:val="000000"/>
          <w:sz w:val="24"/>
          <w:szCs w:val="24"/>
        </w:rPr>
        <w:t xml:space="preserve">One way AI/ML improves radio resource management is through dynamic spectrum allocation, where a learning-based system watches channel conditions in real time and adjusts frequency bands and power levels for each user automatically. This works much better than fixed scheduling rules because it can react to sudden traffic spikes and shifting conditions on the fly. On the reliability side, AI/ML can run anomaly detection across Open RAN components like the O-RU, O-DU, and O-CU, catching warning signs in metrics like packet loss and latency before they turn into outages. Once something unusual is spotted, the system can reroute traffic or trigger a failover right away without waiting for someone to step in.</w:t>
      </w:r>
    </w:p>
    <w:p>
      <w:pPr>
        <w:pStyle w:val="Heading1"/>
        <w:spacing w:after="120" w:before="240"/>
      </w:pPr>
      <w:r>
        <w:rPr>
          <w:rFonts w:ascii="Times New Roman" w:cs="Times New Roman" w:eastAsia="Times New Roman" w:hAnsi="Times New Roman"/>
          <w:b/>
          <w:bCs/>
          <w:color w:val="000000"/>
          <w:sz w:val="24"/>
          <w:szCs w:val="24"/>
        </w:rPr>
        <w:t xml:space="preserve">2. SON and Predictive Maintenance</w:t>
      </w:r>
    </w:p>
    <w:p>
      <w:pPr>
        <w:spacing w:after="200"/>
      </w:pPr>
      <w:r>
        <w:rPr>
          <w:rFonts w:ascii="Times New Roman" w:cs="Times New Roman" w:eastAsia="Times New Roman" w:hAnsi="Times New Roman"/>
          <w:color w:val="000000"/>
          <w:sz w:val="24"/>
          <w:szCs w:val="24"/>
        </w:rPr>
        <w:t xml:space="preserve">Self-optimization in a Self-Organizing Network works by constantly checking performance metrics like interference levels and handover success rates, then tuning settings like antenna tilt and transmit power on its own to keep things running smoothly. Self-healing kicks in when a cell goes down — neighboring cells automatically stretch their coverage to fill the gap while the problem gets fixed. Predictive maintenance takes things a step further by using AI to watch equipment health data like temperature and error counts, flagging hardware that looks like it might fail soon. Because maintenance can be scheduled ahead of time during quiet hours, unexpected outages are avoided and customers see more consistent speeds and fewer interruptions.</w:t>
      </w:r>
    </w:p>
    <w:p>
      <w:pPr>
        <w:pStyle w:val="Heading1"/>
        <w:spacing w:after="120" w:before="240"/>
      </w:pPr>
      <w:r>
        <w:rPr>
          <w:rFonts w:ascii="Times New Roman" w:cs="Times New Roman" w:eastAsia="Times New Roman" w:hAnsi="Times New Roman"/>
          <w:b/>
          <w:bCs/>
          <w:color w:val="000000"/>
          <w:sz w:val="24"/>
          <w:szCs w:val="24"/>
        </w:rPr>
        <w:t xml:space="preserve">3. Hands-On Lab Application</w:t>
      </w:r>
    </w:p>
    <w:p>
      <w:pPr>
        <w:spacing w:after="200"/>
      </w:pPr>
      <w:r>
        <w:rPr>
          <w:rFonts w:ascii="Times New Roman" w:cs="Times New Roman" w:eastAsia="Times New Roman" w:hAnsi="Times New Roman"/>
          <w:color w:val="000000"/>
          <w:sz w:val="24"/>
          <w:szCs w:val="24"/>
        </w:rPr>
        <w:t xml:space="preserve">In the lab simulation, normalizing user demand converts each user's raw demand number into a value between 0 and 1 so the allocation algorithm can compare them on equal footing. Without this step, a user with a very large demand number would automatically receive more resources just because of the scale, not because they actually need priority. This same idea applies in real Open RAN networks, where the RIC has to split up Physical Resource Blocks among users ranging from HD video streams to small IoT devices sending tiny packets. Normalization ensures the scheduler makes fair, consistent decisions based on relative need rather than raw numbers, which lines up with how proportional fair scheduling works in live networks.</w:t>
      </w:r>
    </w:p>
    <w:p>
      <w:pPr>
        <w:pStyle w:val="Heading1"/>
        <w:spacing w:after="120" w:before="240"/>
      </w:pPr>
      <w:r>
        <w:rPr>
          <w:rFonts w:ascii="Times New Roman" w:cs="Times New Roman" w:eastAsia="Times New Roman" w:hAnsi="Times New Roman"/>
          <w:b/>
          <w:bCs/>
          <w:color w:val="000000"/>
          <w:sz w:val="24"/>
          <w:szCs w:val="24"/>
        </w:rPr>
        <w:t xml:space="preserve">4. Traditional RAN vs. Open RAN</w:t>
      </w:r>
    </w:p>
    <w:p>
      <w:pPr>
        <w:spacing w:after="200"/>
      </w:pPr>
      <w:r>
        <w:rPr>
          <w:rFonts w:ascii="Times New Roman" w:cs="Times New Roman" w:eastAsia="Times New Roman" w:hAnsi="Times New Roman"/>
          <w:color w:val="000000"/>
          <w:sz w:val="24"/>
          <w:szCs w:val="24"/>
        </w:rPr>
        <w:t xml:space="preserve">The biggest structural difference between traditional RAN and Open RAN is that traditional systems bundle the baseband and radio hardware together from one vendor, while Open RAN splits them into separate pieces — the O-RU, O-DU, and O-CU — connected through open interfaces. A second major difference is how smart the network can be: traditional RAN relies on vendor-built firmware that operators cannot easily change, but Open RAN adds a RAN Intelligent Controller that lets operators run their own AI-powered apps to optimize the network. Vendor interoperability is possible in Open RAN because the O-RAN Alliance defines standard interfaces like the E2, A1, O1, and open fronthaul that every compliant vendor has to follow. This means an operator can buy radio units from one company and software from another and have them work together without custom integration work.</w:t>
      </w:r>
    </w:p>
    <w:p>
      <w:pPr>
        <w:pStyle w:val="Heading1"/>
        <w:spacing w:after="120" w:before="240"/>
      </w:pPr>
      <w:r>
        <w:rPr>
          <w:rFonts w:ascii="Times New Roman" w:cs="Times New Roman" w:eastAsia="Times New Roman" w:hAnsi="Times New Roman"/>
          <w:b/>
          <w:bCs/>
          <w:color w:val="000000"/>
          <w:sz w:val="24"/>
          <w:szCs w:val="24"/>
        </w:rPr>
        <w:t xml:space="preserve">5. RAN Intelligent Controller (RIC)</w:t>
      </w:r>
    </w:p>
    <w:p>
      <w:pPr>
        <w:spacing w:after="200"/>
      </w:pPr>
      <w:r>
        <w:rPr>
          <w:rFonts w:ascii="Times New Roman" w:cs="Times New Roman" w:eastAsia="Times New Roman" w:hAnsi="Times New Roman"/>
          <w:color w:val="000000"/>
          <w:sz w:val="24"/>
          <w:szCs w:val="24"/>
        </w:rPr>
        <w:t xml:space="preserve">The Non-RT RIC runs on a timescale of over one second and focuses on big-picture tasks like training AI models and setting long-term policies — for example, it might study days of traffic data, build a prediction model, and then send a policy to the Near-RT RIC telling it to reserve extra capacity in certain cells before a known busy period. The Near-RT RIC works much faster, operating between 10 milliseconds and one second, and handles real-time radio decisions through small apps called xApps that plug into the O-DU and O-CU via the E2 interface. A good example of a Near-RT RIC function is an xApp that notices a user getting poor signal due to interference and immediately adjusts the cell's transmit power to fix it. The two controllers work as a team — the Non-RT RIC handles strategy and learning while the Near-RT RIC handles the fast, moment-to-moment adjustments.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2026-06-23T01:38:58.411Z</dcterms:created>
  <dcterms:modified xsi:type="dcterms:W3CDTF">2026-06-23T01:38:58.411Z</dcterms:modified>
</cp:coreProperties>
</file>

<file path=docProps/custom.xml><?xml version="1.0" encoding="utf-8"?>
<Properties xmlns="http://schemas.openxmlformats.org/officeDocument/2006/custom-properties" xmlns:vt="http://schemas.openxmlformats.org/officeDocument/2006/docPropsVTypes"/>
</file>