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BE2E" w14:textId="77777777" w:rsidR="00B111FE" w:rsidRDefault="00B111FE" w:rsidP="00B53AA9">
      <w:pPr>
        <w:jc w:val="center"/>
      </w:pPr>
    </w:p>
    <w:p w14:paraId="1ADAAE22" w14:textId="77777777" w:rsidR="00B53AA9" w:rsidRDefault="00B53AA9" w:rsidP="00B53AA9">
      <w:pPr>
        <w:jc w:val="center"/>
      </w:pPr>
    </w:p>
    <w:p w14:paraId="6F0229C8" w14:textId="77777777" w:rsidR="00B53AA9" w:rsidRDefault="00B53AA9" w:rsidP="00B53AA9">
      <w:pPr>
        <w:jc w:val="center"/>
      </w:pPr>
    </w:p>
    <w:p w14:paraId="329112AB" w14:textId="77777777" w:rsidR="00B53AA9" w:rsidRDefault="00B53AA9" w:rsidP="00B53AA9">
      <w:pPr>
        <w:jc w:val="center"/>
      </w:pPr>
    </w:p>
    <w:p w14:paraId="09BF16B0" w14:textId="77777777" w:rsidR="00B53AA9" w:rsidRDefault="00B53AA9" w:rsidP="00B53AA9">
      <w:pPr>
        <w:spacing w:after="0" w:line="480" w:lineRule="auto"/>
        <w:jc w:val="center"/>
        <w:rPr>
          <w:b/>
          <w:bCs/>
        </w:rPr>
      </w:pPr>
      <w:r w:rsidRPr="002D7E55">
        <w:rPr>
          <w:b/>
          <w:bCs/>
        </w:rPr>
        <w:t>If The IMF is not the Monster, who Is?</w:t>
      </w:r>
    </w:p>
    <w:p w14:paraId="02D60355" w14:textId="77777777" w:rsidR="00B53AA9" w:rsidRDefault="00B53AA9" w:rsidP="00B53AA9">
      <w:pPr>
        <w:spacing w:after="0" w:line="480" w:lineRule="auto"/>
        <w:jc w:val="center"/>
      </w:pPr>
      <w:r>
        <w:t>Judith Okemwa</w:t>
      </w:r>
    </w:p>
    <w:p w14:paraId="674A797E" w14:textId="77777777" w:rsidR="00B53AA9" w:rsidRDefault="00B53AA9" w:rsidP="00B53AA9">
      <w:pPr>
        <w:spacing w:after="0" w:line="480" w:lineRule="auto"/>
        <w:jc w:val="center"/>
      </w:pPr>
      <w:r>
        <w:t>Project 4: Essay</w:t>
      </w:r>
    </w:p>
    <w:p w14:paraId="6B4CDAC9" w14:textId="77777777" w:rsidR="00B53AA9" w:rsidRDefault="00B53AA9" w:rsidP="00B53AA9">
      <w:pPr>
        <w:jc w:val="center"/>
      </w:pPr>
    </w:p>
    <w:p w14:paraId="7D615AAF" w14:textId="77777777" w:rsidR="002D7E55" w:rsidRDefault="002D7E55" w:rsidP="00CD546F">
      <w:pPr>
        <w:pStyle w:val="Style2"/>
      </w:pPr>
    </w:p>
    <w:p w14:paraId="44C58266" w14:textId="68284A3C" w:rsidR="002D7E55" w:rsidRDefault="002D7E55">
      <w:r>
        <w:br w:type="page"/>
      </w:r>
    </w:p>
    <w:p w14:paraId="6CB4CF10" w14:textId="4622C29C" w:rsidR="002D7E55" w:rsidRPr="0037560F" w:rsidRDefault="002D7E55" w:rsidP="00DA7085">
      <w:pPr>
        <w:pStyle w:val="Title"/>
        <w:jc w:val="center"/>
        <w:rPr>
          <w:rFonts w:asciiTheme="minorHAnsi" w:hAnsiTheme="minorHAnsi" w:cstheme="minorHAnsi"/>
          <w:b/>
          <w:bCs/>
          <w:sz w:val="24"/>
          <w:szCs w:val="24"/>
        </w:rPr>
      </w:pPr>
      <w:r w:rsidRPr="0037560F">
        <w:rPr>
          <w:rFonts w:asciiTheme="minorHAnsi" w:hAnsiTheme="minorHAnsi" w:cstheme="minorHAnsi"/>
          <w:b/>
          <w:bCs/>
          <w:sz w:val="24"/>
          <w:szCs w:val="24"/>
        </w:rPr>
        <w:lastRenderedPageBreak/>
        <w:t>If The IMF is not the Monster</w:t>
      </w:r>
      <w:r w:rsidR="00131EDE" w:rsidRPr="0037560F">
        <w:rPr>
          <w:rFonts w:asciiTheme="minorHAnsi" w:hAnsiTheme="minorHAnsi" w:cstheme="minorHAnsi"/>
          <w:b/>
          <w:bCs/>
          <w:sz w:val="24"/>
          <w:szCs w:val="24"/>
        </w:rPr>
        <w:t>,</w:t>
      </w:r>
      <w:r w:rsidRPr="0037560F">
        <w:rPr>
          <w:rFonts w:asciiTheme="minorHAnsi" w:hAnsiTheme="minorHAnsi" w:cstheme="minorHAnsi"/>
          <w:b/>
          <w:bCs/>
          <w:sz w:val="24"/>
          <w:szCs w:val="24"/>
        </w:rPr>
        <w:t xml:space="preserve"> </w:t>
      </w:r>
      <w:r w:rsidR="00077033" w:rsidRPr="0037560F">
        <w:rPr>
          <w:rFonts w:asciiTheme="minorHAnsi" w:hAnsiTheme="minorHAnsi" w:cstheme="minorHAnsi"/>
          <w:b/>
          <w:bCs/>
          <w:sz w:val="24"/>
          <w:szCs w:val="24"/>
        </w:rPr>
        <w:t>w</w:t>
      </w:r>
      <w:r w:rsidRPr="0037560F">
        <w:rPr>
          <w:rFonts w:asciiTheme="minorHAnsi" w:hAnsiTheme="minorHAnsi" w:cstheme="minorHAnsi"/>
          <w:b/>
          <w:bCs/>
          <w:sz w:val="24"/>
          <w:szCs w:val="24"/>
        </w:rPr>
        <w:t>ho Is?</w:t>
      </w:r>
    </w:p>
    <w:p w14:paraId="176FC411" w14:textId="7FE5A468" w:rsidR="00E87283" w:rsidRPr="000A17C5" w:rsidRDefault="00E87283" w:rsidP="00092CF5">
      <w:pPr>
        <w:pStyle w:val="Heading1"/>
        <w:rPr>
          <w:szCs w:val="24"/>
        </w:rPr>
      </w:pPr>
      <w:r w:rsidRPr="000A17C5">
        <w:rPr>
          <w:szCs w:val="24"/>
        </w:rPr>
        <w:t>Abstract</w:t>
      </w:r>
    </w:p>
    <w:p w14:paraId="35C17E4B" w14:textId="77777777" w:rsidR="00E87283" w:rsidRPr="00E247DD" w:rsidRDefault="00E87283" w:rsidP="00432499">
      <w:pPr>
        <w:pStyle w:val="Style2"/>
        <w:rPr>
          <w:rFonts w:cstheme="minorHAnsi"/>
        </w:rPr>
      </w:pPr>
      <w:r w:rsidRPr="00E247DD">
        <w:t>Following the debt crisis in the '80s and '90s, the IMF introduced conditional loans to less developed countries (LDCs) for macroeconomic stabilization, liberalization, privatization, and deregulation to support reforms. However, these structural adjustment programs did not yield the expected outcomes. Critics argue that program failures are due to corrupt, wasteful, and rent-seeking behaviors of LDC governments, as well as poor policy implementation. Yet, the worsening economic and social conditions in these countries raise serious questions about the credibility and legitimacy of the IMF and similar institutions.</w:t>
      </w:r>
      <w:r w:rsidRPr="00E247DD">
        <w:rPr>
          <w:rFonts w:eastAsia="Times New Roman" w:cstheme="minorHAnsi"/>
        </w:rPr>
        <w:t xml:space="preserve"> </w:t>
      </w:r>
    </w:p>
    <w:p w14:paraId="7B3AF615" w14:textId="77777777" w:rsidR="001D3582" w:rsidRPr="008F7DF6" w:rsidRDefault="001D3582" w:rsidP="008F7DF6">
      <w:pPr>
        <w:pStyle w:val="Heading1"/>
      </w:pPr>
      <w:r w:rsidRPr="008F7DF6">
        <w:t>Introduction</w:t>
      </w:r>
    </w:p>
    <w:p w14:paraId="1FFF7945" w14:textId="77777777" w:rsidR="001D3582" w:rsidRPr="005F1760" w:rsidRDefault="001D3582" w:rsidP="00B36A46">
      <w:pPr>
        <w:pStyle w:val="Style2"/>
      </w:pPr>
      <w:r w:rsidRPr="005F1760">
        <w:t xml:space="preserve">The </w:t>
      </w:r>
      <w:r w:rsidRPr="00B36A46">
        <w:t>International</w:t>
      </w:r>
      <w:r w:rsidRPr="005F1760">
        <w:t xml:space="preserve"> Monetary Fund (IMF) was established in 1945 to oversee the post-war economic order, support devastated economies, and promote free trade. Over the past 75 years, the IMF has evolved into a macroeconomic development financing institution, primarily serving low-income, distressed countries. As P.V. Reddy notes, the IMF now acts as a coordinating entity for its universal membership, addressing economic interdependence. According to </w:t>
      </w:r>
      <w:proofErr w:type="spellStart"/>
      <w:r w:rsidRPr="005F1760">
        <w:t>Eichenberry</w:t>
      </w:r>
      <w:proofErr w:type="spellEnd"/>
      <w:r w:rsidRPr="005F1760">
        <w:t xml:space="preserve"> et al., the IMF plays a crucial role in resolving information, commitment, and coordination issues among its members. While developed nations, as shareholders, do not borrow from the IMF, they supply liquidity due to their stable currencies, substantial reserves, and favorable balance of payments. Additionally, the IMF provides capacity and technical assistance to needy members and has expanded its role to include financial market bailouts.</w:t>
      </w:r>
    </w:p>
    <w:p w14:paraId="26DC0670" w14:textId="77777777" w:rsidR="001D3582" w:rsidRPr="005F1760" w:rsidRDefault="001D3582" w:rsidP="001D3582">
      <w:pPr>
        <w:pStyle w:val="Style2"/>
      </w:pPr>
      <w:r w:rsidRPr="005F1760">
        <w:lastRenderedPageBreak/>
        <w:t xml:space="preserve">Opinions on the IMF’s impact </w:t>
      </w:r>
      <w:proofErr w:type="gramStart"/>
      <w:r w:rsidRPr="005F1760">
        <w:t>are</w:t>
      </w:r>
      <w:proofErr w:type="gramEnd"/>
      <w:r w:rsidRPr="005F1760">
        <w:t xml:space="preserve"> divided. Critics argue that the Fund exacerbates economic crises with poorly designed programs and serves the interests of its major shareholders. In contrast, proponents like Barry </w:t>
      </w:r>
      <w:proofErr w:type="spellStart"/>
      <w:r w:rsidRPr="005F1760">
        <w:t>Eichengreen</w:t>
      </w:r>
      <w:proofErr w:type="spellEnd"/>
      <w:r w:rsidRPr="005F1760">
        <w:t xml:space="preserve"> and Ngaire Woods view the IMF as a necessary "bad cop" enforcing fiscal discipline in low-income countries, believing its intentions are fundamentally positive. T.D. Willet suggests that much of the criticism stems from a misunderstanding of the IMF’s extensive range of activities.</w:t>
      </w:r>
    </w:p>
    <w:p w14:paraId="61EFBD45" w14:textId="77777777" w:rsidR="001D3582" w:rsidRDefault="001D3582" w:rsidP="001D3582">
      <w:pPr>
        <w:pStyle w:val="Style2"/>
      </w:pPr>
      <w:r w:rsidRPr="005F1760">
        <w:t>This essay examines whether the IMF has fulfilled its mandate and possesses the credibility to act as a global economic referee. It addresses key issues such as loan conditions, debt crisis management, and the role of internal politics. Additionally, it explores how poorly governed recipient countries, which struggle to gain domestic support for IMF programs, share significant responsibility for the failure of these initiatives and the need for transformative reforms.</w:t>
      </w:r>
      <w:r>
        <w:t xml:space="preserve"> </w:t>
      </w:r>
    </w:p>
    <w:p w14:paraId="7F61CC8B" w14:textId="77777777" w:rsidR="006124C6" w:rsidRDefault="006124C6" w:rsidP="00092CF5">
      <w:pPr>
        <w:pStyle w:val="Heading1"/>
      </w:pPr>
      <w:r>
        <w:t>Reforming with Strings Attached: IMF Loans and Austerity Measures</w:t>
      </w:r>
    </w:p>
    <w:p w14:paraId="65F0EEF9" w14:textId="77777777" w:rsidR="006124C6" w:rsidRPr="003F555C" w:rsidRDefault="006124C6" w:rsidP="006124C6">
      <w:pPr>
        <w:pStyle w:val="Style2"/>
      </w:pPr>
      <w:r w:rsidRPr="003F555C">
        <w:t>The IMF ties its financial support to specific conditions designed to promote economic reforms, influence domestic policies, and foster stability. However, these conditions often fail when perceived as punitive or foreign by recipient countries.</w:t>
      </w:r>
    </w:p>
    <w:p w14:paraId="670CB7AC" w14:textId="77777777" w:rsidR="006124C6" w:rsidRPr="003F555C" w:rsidRDefault="006124C6" w:rsidP="006124C6">
      <w:pPr>
        <w:pStyle w:val="Style2"/>
      </w:pPr>
      <w:r w:rsidRPr="003F555C">
        <w:t xml:space="preserve">According to Stone (2004), economic reforms that threaten elite interests, lower living standards, or disrupt political corruption are particularly risky in Africa. Reddy argues that IMF conditions frequently overlook local contexts essential for successful reform implementation, favoring the interests of the Fund's major shareholders over the specific needs of individual </w:t>
      </w:r>
      <w:r w:rsidRPr="003F555C">
        <w:lastRenderedPageBreak/>
        <w:t xml:space="preserve">countries. Papi et al. criticize the IMF's reliance on the "Washington Consensus," arguing that </w:t>
      </w:r>
      <w:proofErr w:type="spellStart"/>
      <w:r w:rsidRPr="003F555C">
        <w:t>its</w:t>
      </w:r>
      <w:proofErr w:type="spellEnd"/>
      <w:r w:rsidRPr="003F555C">
        <w:t xml:space="preserve"> inappropriate and ideological policies contribute to reform failures.</w:t>
      </w:r>
    </w:p>
    <w:p w14:paraId="6DEF2CEE" w14:textId="77777777" w:rsidR="006124C6" w:rsidRPr="003F555C" w:rsidRDefault="006124C6" w:rsidP="006124C6">
      <w:pPr>
        <w:pStyle w:val="Style2"/>
      </w:pPr>
      <w:r w:rsidRPr="003F555C">
        <w:t>Not all countries face equally stringent conditions. Major shareholders sometimes relax requirements for strategically important governments to further their political agendas. Beazer and Woo note that the impact of stricter IMF conditions depends on domestic support or resistance to reforms. Thacker (1999) points out that negotiations between the IMF and borrowing governments occur in uncertain environments, allowing bureaucratic, political, and geopolitical factors to influence program design. Nooruddin and Simmons (2006) stress that IMF programs are not imposed; recipient governments retain some influence over program content and its distributional impacts.</w:t>
      </w:r>
    </w:p>
    <w:p w14:paraId="0B9B9270" w14:textId="77777777" w:rsidR="006124C6" w:rsidRPr="003F555C" w:rsidRDefault="006124C6" w:rsidP="006124C6">
      <w:pPr>
        <w:pStyle w:val="Style2"/>
        <w:rPr>
          <w:rFonts w:asciiTheme="minorHAnsi" w:hAnsiTheme="minorHAnsi" w:cstheme="minorHAnsi"/>
        </w:rPr>
      </w:pPr>
      <w:r w:rsidRPr="003F555C">
        <w:rPr>
          <w:rFonts w:asciiTheme="minorHAnsi" w:hAnsiTheme="minorHAnsi" w:cstheme="minorHAnsi"/>
        </w:rPr>
        <w:t>Conditions also fail when policy agreements extend beyond the IMF's expertise and the local capacity to address new issues, leading to increased technical assistance costs borne by borrowers. Willet (2001) attributes mission creep to major shareholders' geopolitical objectives, while NGOs and recipient countries often leverage IMF programs to advance labor-market and environmental policies.</w:t>
      </w:r>
    </w:p>
    <w:p w14:paraId="6A4D7C6C" w14:textId="77777777" w:rsidR="006124C6" w:rsidRPr="00956B0A" w:rsidRDefault="006124C6" w:rsidP="006124C6">
      <w:pPr>
        <w:pStyle w:val="Style2"/>
        <w:rPr>
          <w:rFonts w:asciiTheme="minorHAnsi" w:hAnsiTheme="minorHAnsi" w:cstheme="minorHAnsi"/>
        </w:rPr>
      </w:pPr>
      <w:r w:rsidRPr="003F555C">
        <w:rPr>
          <w:rFonts w:asciiTheme="minorHAnsi" w:hAnsiTheme="minorHAnsi" w:cstheme="minorHAnsi"/>
        </w:rPr>
        <w:t xml:space="preserve">The IMF's effectiveness in promoting reforms hinges on its credible threat to withhold financing. This is often undermined by interference from major donor countries and the specific circumstances in recipient countries. Thus, conditions should focus on the welfare of crisis-affected countries rather than the interests of the IMF’s principal shareholders. Reforms must directly link to restoring financial stability and economic growth without disrupting program </w:t>
      </w:r>
      <w:r w:rsidRPr="003F555C">
        <w:rPr>
          <w:rFonts w:asciiTheme="minorHAnsi" w:hAnsiTheme="minorHAnsi" w:cstheme="minorHAnsi"/>
        </w:rPr>
        <w:lastRenderedPageBreak/>
        <w:t>schedules. To function effectively as an international central bank for developing countries, the IMF must maintain its independence (Stone, 2004).</w:t>
      </w:r>
    </w:p>
    <w:p w14:paraId="51B7B963" w14:textId="77777777" w:rsidR="00623F3C" w:rsidRPr="009A56DB" w:rsidRDefault="00623F3C" w:rsidP="009A56DB">
      <w:pPr>
        <w:pStyle w:val="Heading1"/>
      </w:pPr>
      <w:r w:rsidRPr="009A56DB">
        <w:t>The IMF’s Challenge with Sovereign Debt Management</w:t>
      </w:r>
    </w:p>
    <w:p w14:paraId="104FE81B" w14:textId="77777777" w:rsidR="00623F3C" w:rsidRDefault="00623F3C" w:rsidP="00623F3C">
      <w:pPr>
        <w:pStyle w:val="Style2"/>
      </w:pPr>
      <w:r w:rsidRPr="00E620C8">
        <w:t xml:space="preserve">Managing unsustainable sovereign debt, which threatens both domestic and international financial stability, is a core aspect of the IMF’s mandate. As a principal creditor to many LDCs, the IMF holds significant influence over these nations (Dembele, 2005). </w:t>
      </w:r>
    </w:p>
    <w:p w14:paraId="6487FED1" w14:textId="77777777" w:rsidR="00623F3C" w:rsidRPr="00E620C8" w:rsidRDefault="00623F3C" w:rsidP="00623F3C">
      <w:pPr>
        <w:pStyle w:val="Style2"/>
      </w:pPr>
      <w:r w:rsidRPr="00E620C8">
        <w:t>Structural adjustment loans are intended to help countries pay for imports and free up funds for debt repayment. However, these loans often fail to resolve the underlying debt crisis, merely postponing defaults without promoting true economic development. Instead, they often serve the interests of major shareholders, creating markets for their investments while the costs of structural reforms are borne disproportionately by debtor nations. Many countries remain insolvent, unable to repay their debts.</w:t>
      </w:r>
    </w:p>
    <w:p w14:paraId="50477BCE" w14:textId="77777777" w:rsidR="00623F3C" w:rsidRPr="00E620C8" w:rsidRDefault="00623F3C" w:rsidP="00623F3C">
      <w:pPr>
        <w:pStyle w:val="Style2"/>
      </w:pPr>
      <w:r w:rsidRPr="00E620C8">
        <w:t>Corruption and capital flight, facilitated by the expansion of the state, have led to the accumulation of private assets and public debt (Adams). Mismanagement of the public sector has been identified as a significant barrier to economic growth, prompting a shift towards building up the private sector. However, critics argue that the focus on creating institutions favorable to foreign investors undermines democracy and human rights. This approach sidelines representative institutions and public participation, reducing them to merely implementing decisions made by major shareholders (Dembele, 2005).</w:t>
      </w:r>
    </w:p>
    <w:p w14:paraId="61656C8B" w14:textId="77777777" w:rsidR="00623F3C" w:rsidRPr="00E620C8" w:rsidRDefault="00623F3C" w:rsidP="00623F3C">
      <w:pPr>
        <w:pStyle w:val="Style2"/>
      </w:pPr>
      <w:proofErr w:type="spellStart"/>
      <w:r w:rsidRPr="00E620C8">
        <w:t>Eichenberry</w:t>
      </w:r>
      <w:proofErr w:type="spellEnd"/>
      <w:r w:rsidRPr="00E620C8">
        <w:t xml:space="preserve"> highlights that the IMF’s approach to debt problems is often unstructured and ad-hoc, creating uncertainties for both investors and governments. Despite the inability of </w:t>
      </w:r>
      <w:r w:rsidRPr="00E620C8">
        <w:lastRenderedPageBreak/>
        <w:t>distressed countries to service their debts sustainably, funding continues, primarily to maintain cash flow and service old debts to public and private sector lenders. Without this flow of funds, there is a significant risk of a catastrophic collapse, including that of international banks.</w:t>
      </w:r>
    </w:p>
    <w:p w14:paraId="6690665E" w14:textId="77777777" w:rsidR="006F2433" w:rsidRPr="00E620C8" w:rsidRDefault="006F2433" w:rsidP="00593F26">
      <w:pPr>
        <w:pStyle w:val="Heading1"/>
      </w:pPr>
      <w:r>
        <w:t>Reevaluating Governance: Challenges within the IMF</w:t>
      </w:r>
    </w:p>
    <w:p w14:paraId="4CB4057B" w14:textId="77777777" w:rsidR="006F2433" w:rsidRPr="00095B15" w:rsidRDefault="006F2433" w:rsidP="006F2433">
      <w:pPr>
        <w:pStyle w:val="Style2"/>
      </w:pPr>
      <w:r w:rsidRPr="00095B15">
        <w:t>Although the IMF was originally designed to be a technically specialized and politically neutral organization, its operations are heavily influenced by politics. Many in developing countries perceive the IMF as a political entity biased in favor of wealthy nations rather than its intended neutral role (Bradlow, D.B).</w:t>
      </w:r>
    </w:p>
    <w:p w14:paraId="314317A7" w14:textId="77777777" w:rsidR="006F2433" w:rsidRPr="00095B15" w:rsidRDefault="006F2433" w:rsidP="006F2433">
      <w:pPr>
        <w:pStyle w:val="Style2"/>
      </w:pPr>
      <w:r w:rsidRPr="00095B15">
        <w:t>Recipient countries lack full representation on the Board of Executive Directors, while industrialized countries wield significant power despite not using IMF services. This imbalance allows industrialized countries to shape IMF policies without facing the direct consequences of those policies. These countries often pursue other international objectives by interfering with IMF program implementation in recipient countries, neglecting the enforcement of loan conditions that could promote growth (Stone, Randall W., 2004).</w:t>
      </w:r>
    </w:p>
    <w:p w14:paraId="75EF1E95" w14:textId="77777777" w:rsidR="006F2433" w:rsidRPr="00095B15" w:rsidRDefault="006F2433" w:rsidP="006F2433">
      <w:pPr>
        <w:pStyle w:val="Style2"/>
      </w:pPr>
      <w:r w:rsidRPr="00095B15">
        <w:t>Non-state actors most affected by IMF actions in recipient countries lack a voice in its policymaking. There are no formal mechanisms for these actors to communicate directly with the IMF, leading to perceptions of imperialism and causing undue hardship among the poor who are directly impacted by proposed adjustments (Adams, Patricia, 1992).</w:t>
      </w:r>
    </w:p>
    <w:p w14:paraId="71752DD1" w14:textId="77777777" w:rsidR="006F2433" w:rsidRPr="00095B15" w:rsidRDefault="006F2433" w:rsidP="006F2433">
      <w:pPr>
        <w:pStyle w:val="Style2"/>
      </w:pPr>
      <w:r w:rsidRPr="00095B15">
        <w:t xml:space="preserve">Instituting public hearings for all IMF missions in the countries they visit, or allowing written submissions, would provide a platform for non-state actors to communicate with the IMF. The absence of such procedures contradicts the principles of participation and transparency that </w:t>
      </w:r>
      <w:r w:rsidRPr="00095B15">
        <w:lastRenderedPageBreak/>
        <w:t>the IMF advocates for its member states. It also suggests that the IMF often makes policy without comprehensive information (Bradlow, D.B).</w:t>
      </w:r>
    </w:p>
    <w:p w14:paraId="376B9626" w14:textId="77777777" w:rsidR="006F2433" w:rsidRPr="00095B15" w:rsidRDefault="006F2433" w:rsidP="006F2433">
      <w:pPr>
        <w:pStyle w:val="Style2"/>
      </w:pPr>
      <w:r w:rsidRPr="00095B15">
        <w:t>The IMF faces structural distortions that have developed over time. Its involvement in areas like law reform, poverty alleviation, labor issues, social welfare, budget allocations for health and education, the environment, and trade liberalization has expanded its scope beyond its original monetary function. This encroachment into the jurisdictions of other specialized international organizations undermines its effective independence (Bradlow, D.B).</w:t>
      </w:r>
    </w:p>
    <w:p w14:paraId="356C06F2" w14:textId="77777777" w:rsidR="006F2433" w:rsidRDefault="006F2433" w:rsidP="006F2433">
      <w:pPr>
        <w:pStyle w:val="Style2"/>
      </w:pPr>
      <w:r w:rsidRPr="00095B15">
        <w:t>These issues pose significant barriers to the IMF's effective functioning and can only be addressed through a comprehensive reform program to overhaul its structure and operating principles. Without such reforms, it remains doubtful whether the IMF can effectively contribute to solving the complex problems of poverty, inequality, and inadequate governance in developing countries.</w:t>
      </w:r>
    </w:p>
    <w:p w14:paraId="00DF2F98" w14:textId="77777777" w:rsidR="00705B09" w:rsidRPr="00095B15" w:rsidRDefault="00705B09" w:rsidP="00593F26">
      <w:pPr>
        <w:pStyle w:val="Heading1"/>
      </w:pPr>
      <w:r>
        <w:t>Understanding the Role of Recipient Countries in IMF Program Failures</w:t>
      </w:r>
    </w:p>
    <w:p w14:paraId="0D317832" w14:textId="0BBDDA2B" w:rsidR="00705B09" w:rsidRPr="005F086E" w:rsidRDefault="00705B09" w:rsidP="00705B09">
      <w:pPr>
        <w:pStyle w:val="Style2"/>
      </w:pPr>
      <w:r w:rsidRPr="005F086E">
        <w:t>Recipient countries play a significant role in the failure of IMF programs due to various factors. Firstly, the quality of governance within these countries profoundly impacts program outcomes.</w:t>
      </w:r>
      <w:r>
        <w:t xml:space="preserve"> </w:t>
      </w:r>
      <w:r w:rsidRPr="005F086E">
        <w:t>Weak governance structures, characterized by corruption, lack of transparency, and ineffective policy implementation, hinder the successful execution of IMF programs.</w:t>
      </w:r>
      <w:r w:rsidR="000C3AFD">
        <w:t xml:space="preserve"> Bradlow</w:t>
      </w:r>
      <w:r w:rsidR="008776A6">
        <w:t xml:space="preserve"> (2006)</w:t>
      </w:r>
    </w:p>
    <w:p w14:paraId="3DDCBC74" w14:textId="77777777" w:rsidR="00705B09" w:rsidRPr="005F086E" w:rsidRDefault="00705B09" w:rsidP="00705B09">
      <w:pPr>
        <w:pStyle w:val="Style2"/>
      </w:pPr>
      <w:r w:rsidRPr="005F086E">
        <w:t xml:space="preserve">Moreover, recipient countries may lack the necessary political will to implement stringent IMF conditions, especially when such measures are perceived as detrimental to vested interests </w:t>
      </w:r>
      <w:r w:rsidRPr="005F086E">
        <w:lastRenderedPageBreak/>
        <w:t>or public welfare. Political instability, conflicting agendas within ruling elites, and resistance from powerful interest groups further complicate program implementation.</w:t>
      </w:r>
    </w:p>
    <w:p w14:paraId="58368C83" w14:textId="77777777" w:rsidR="00705B09" w:rsidRPr="005F086E" w:rsidRDefault="00705B09" w:rsidP="00705B09">
      <w:pPr>
        <w:pStyle w:val="Style2"/>
      </w:pPr>
      <w:r w:rsidRPr="005F086E">
        <w:t>Additionally, recipient countries often face structural challenges, including limited institutional capacity, inadequate infrastructure, and socioeconomic disparities, which impede the effective execution of IMF-mandated reforms. Inadequate technical expertise and institutional weaknesses hinder the formulation and implementation of policies aligned with IMF requirements.</w:t>
      </w:r>
    </w:p>
    <w:p w14:paraId="3FB961FE" w14:textId="77777777" w:rsidR="00705B09" w:rsidRPr="005F086E" w:rsidRDefault="00705B09" w:rsidP="00705B09">
      <w:pPr>
        <w:pStyle w:val="Style2"/>
      </w:pPr>
      <w:r w:rsidRPr="005F086E">
        <w:t>Furthermore, the social and economic context of recipient countries, such as income inequality, social unrest, and external shocks, can undermine the effectiveness of IMF programs. These factors create challenges in achieving macroeconomic stability, fiscal discipline, and sustainable growth, which are essential goals of IMF-supported programs.</w:t>
      </w:r>
    </w:p>
    <w:p w14:paraId="45F13666" w14:textId="77777777" w:rsidR="00705B09" w:rsidRDefault="00705B09" w:rsidP="00705B09">
      <w:pPr>
        <w:pStyle w:val="Style2"/>
      </w:pPr>
      <w:r w:rsidRPr="005F086E">
        <w:t>Overall, recipient countries' role in IMF program failure underscores the complex interplay of governance, political, institutional, and socioeconomic factors that influence program outcomes. Addressing these challenges requires comprehensive strategies that address governance reforms, capacity-building initiatives, and structural transformations to enhance the effectiveness of IMF programs.</w:t>
      </w:r>
    </w:p>
    <w:p w14:paraId="2B3611A1" w14:textId="77777777" w:rsidR="00337807" w:rsidRDefault="00337807" w:rsidP="00593F26">
      <w:pPr>
        <w:pStyle w:val="Heading1"/>
      </w:pPr>
      <w:r>
        <w:t>Charting Paths Forward: Rethinking the Role of the IMF in Global Economic Governance</w:t>
      </w:r>
    </w:p>
    <w:p w14:paraId="544F1438" w14:textId="77777777" w:rsidR="00337807" w:rsidRPr="009A2F98" w:rsidRDefault="00337807" w:rsidP="00337807">
      <w:pPr>
        <w:pStyle w:val="Style2"/>
      </w:pPr>
      <w:r w:rsidRPr="009A2F98">
        <w:t>In conclusion, the examination of the International Monetary Fund (IMF) and its impact on global economic governance raises critical questions about its effectiveness, legitimacy, and role in addressing the challenges faced by less developed countries (LDCs). Initially established to supervise post-war economic recovery and promote free trade, the IMF has evolved into a macro-</w:t>
      </w:r>
      <w:r w:rsidRPr="009A2F98">
        <w:lastRenderedPageBreak/>
        <w:t>economically oriented development financing institution, particularly for low-income and distressed countries. However, its transformation has been met with skepticism and criticism.</w:t>
      </w:r>
    </w:p>
    <w:p w14:paraId="78C7942A" w14:textId="77777777" w:rsidR="00337807" w:rsidRPr="009A2F98" w:rsidRDefault="00337807" w:rsidP="00337807">
      <w:pPr>
        <w:pStyle w:val="Style2"/>
      </w:pPr>
      <w:r w:rsidRPr="009A2F98">
        <w:t>The analysis of IMF loans and austerity measures reveals a complex relationship between financial support and structural reforms. While intended to foster economic stability and reform, conditions attached to loans often fail to address local circumstances and are perceived as punitive or disruptive by recipients. This disconnect underscores the need for tailored, context-specific approaches to ensure the effectiveness of IMF programs.</w:t>
      </w:r>
    </w:p>
    <w:p w14:paraId="1B8BF7B6" w14:textId="77777777" w:rsidR="00337807" w:rsidRPr="009A2F98" w:rsidRDefault="00337807" w:rsidP="00337807">
      <w:pPr>
        <w:pStyle w:val="Style2"/>
      </w:pPr>
      <w:r w:rsidRPr="009A2F98">
        <w:t>Unsustainable sovereign debt emerges as a central challenge, with the IMF wielding significant influence over debt management in many LDCs. Despite efforts to stave off default, new loans often exacerbate the debt crisis without addressing its underlying causes. The IMF's role in debt restructuring and management remains fraught with uncertainties and challenges, raising questions about its ability to promote sustainable financial stability.</w:t>
      </w:r>
    </w:p>
    <w:p w14:paraId="63AABCAF" w14:textId="77777777" w:rsidR="00337807" w:rsidRPr="009A2F98" w:rsidRDefault="00337807" w:rsidP="00337807">
      <w:pPr>
        <w:pStyle w:val="Style2"/>
      </w:pPr>
      <w:r w:rsidRPr="009A2F98">
        <w:t>Internal politics within the IMF further complicate its effectiveness. Despite its technical mandate, political considerations heavily influence decision-making, with industrialized countries wielding disproportionate power. Non-state actors, particularly those most affected by IMF programs, lack meaningful representation in policy-making processes, highlighting issues of transparency and accountability within the institution.</w:t>
      </w:r>
    </w:p>
    <w:p w14:paraId="28156EED" w14:textId="77777777" w:rsidR="00337807" w:rsidRPr="009A2F98" w:rsidRDefault="00337807" w:rsidP="00337807">
      <w:pPr>
        <w:pStyle w:val="Style2"/>
      </w:pPr>
      <w:r w:rsidRPr="009A2F98">
        <w:t xml:space="preserve">Recipient countries also play a pivotal role in the success or failure of IMF programs. Governance structures, characterized by corruption, political instability, and institutional weaknesses, pose significant challenges to effective program implementation. Without strong </w:t>
      </w:r>
      <w:r w:rsidRPr="009A2F98">
        <w:lastRenderedPageBreak/>
        <w:t>domestic support and capacity for reform, IMF interventions may fail to achieve their intended objectives, further exacerbating economic and social challenges.</w:t>
      </w:r>
    </w:p>
    <w:p w14:paraId="594D3C68" w14:textId="77777777" w:rsidR="00337807" w:rsidRPr="009A2F98" w:rsidRDefault="00337807" w:rsidP="00337807">
      <w:pPr>
        <w:pStyle w:val="Style2"/>
      </w:pPr>
      <w:r w:rsidRPr="009A2F98">
        <w:t>Overall, while the IMF plays a critical role in global economic governance, its effectiveness is contingent upon addressing systemic issues related to program design, governance, and the role of recipient countries. Addressing these challenges requires a comprehensive reform agenda that prioritizes transparency, accountability, and inclusivity. Only through meaningful dialogue and collaboration can the IMF fulfill its mandate and effectively address the complex economic realities facing LDCs. Thus, while the IMF may not be the sole "monster" in the global economic landscape, its evolution and impact warrant critical examination and reform to ensure it serves the interests of all member states equitably.</w:t>
      </w:r>
    </w:p>
    <w:p w14:paraId="06D3B89B" w14:textId="5099C4F2" w:rsidR="00470A91" w:rsidRDefault="00470A91">
      <w:pPr>
        <w:rPr>
          <w:rFonts w:asciiTheme="majorHAnsi" w:eastAsiaTheme="majorEastAsia" w:hAnsiTheme="majorHAnsi" w:cstheme="majorBidi"/>
          <w:color w:val="2F5496" w:themeColor="accent1" w:themeShade="BF"/>
          <w:sz w:val="26"/>
          <w:szCs w:val="26"/>
        </w:rPr>
      </w:pPr>
      <w:r>
        <w:br w:type="page"/>
      </w:r>
    </w:p>
    <w:p w14:paraId="36256B88" w14:textId="1CE51F5E" w:rsidR="002D7E55" w:rsidRDefault="00470A91" w:rsidP="00DA7085">
      <w:pPr>
        <w:pStyle w:val="Heading1"/>
      </w:pPr>
      <w:r>
        <w:lastRenderedPageBreak/>
        <w:t>Bibliography</w:t>
      </w:r>
    </w:p>
    <w:p w14:paraId="4B24E372" w14:textId="77777777" w:rsidR="00A729C3" w:rsidRPr="00D8089C" w:rsidRDefault="00A729C3" w:rsidP="00DA7085">
      <w:pPr>
        <w:spacing w:line="480" w:lineRule="auto"/>
        <w:ind w:left="720" w:hanging="720"/>
        <w:jc w:val="both"/>
        <w:rPr>
          <w:rFonts w:eastAsia="Times New Roman" w:cs="Times New Roman"/>
          <w:kern w:val="0"/>
          <w:szCs w:val="24"/>
          <w14:ligatures w14:val="none"/>
        </w:rPr>
      </w:pPr>
      <w:r w:rsidRPr="0019592C">
        <w:rPr>
          <w:rFonts w:eastAsia="Times New Roman" w:cs="Times New Roman"/>
          <w:kern w:val="0"/>
          <w:szCs w:val="24"/>
          <w14:ligatures w14:val="none"/>
        </w:rPr>
        <w:t>Adams, P. (</w:t>
      </w:r>
      <w:r>
        <w:rPr>
          <w:rFonts w:eastAsia="Times New Roman" w:cs="Times New Roman"/>
          <w:kern w:val="0"/>
          <w:szCs w:val="24"/>
          <w14:ligatures w14:val="none"/>
        </w:rPr>
        <w:t>1992</w:t>
      </w:r>
      <w:r w:rsidRPr="0019592C">
        <w:rPr>
          <w:rFonts w:eastAsia="Times New Roman" w:cs="Times New Roman"/>
          <w:kern w:val="0"/>
          <w:szCs w:val="24"/>
          <w14:ligatures w14:val="none"/>
        </w:rPr>
        <w:t xml:space="preserve">). </w:t>
      </w:r>
      <w:r w:rsidRPr="00D8089C">
        <w:rPr>
          <w:rFonts w:eastAsia="Times New Roman" w:cs="Times New Roman"/>
          <w:kern w:val="0"/>
          <w:szCs w:val="24"/>
          <w14:ligatures w14:val="none"/>
        </w:rPr>
        <w:t xml:space="preserve">Adams, P. (1992). The World Bank and the IMF in Sub-Saharan Africa: Undermining Development and Environmental Sustainability. </w:t>
      </w:r>
      <w:r w:rsidRPr="00D8089C">
        <w:rPr>
          <w:rFonts w:eastAsia="Times New Roman" w:cs="Times New Roman"/>
          <w:i/>
          <w:iCs/>
          <w:kern w:val="0"/>
          <w:szCs w:val="24"/>
          <w14:ligatures w14:val="none"/>
        </w:rPr>
        <w:t>Journal of International Affairs</w:t>
      </w:r>
      <w:r w:rsidRPr="00D8089C">
        <w:rPr>
          <w:rFonts w:eastAsia="Times New Roman" w:cs="Times New Roman"/>
          <w:kern w:val="0"/>
          <w:szCs w:val="24"/>
          <w14:ligatures w14:val="none"/>
        </w:rPr>
        <w:t xml:space="preserve">, </w:t>
      </w:r>
      <w:r w:rsidRPr="00D8089C">
        <w:rPr>
          <w:rFonts w:eastAsia="Times New Roman" w:cs="Times New Roman"/>
          <w:i/>
          <w:iCs/>
          <w:kern w:val="0"/>
          <w:szCs w:val="24"/>
          <w14:ligatures w14:val="none"/>
        </w:rPr>
        <w:t>46</w:t>
      </w:r>
      <w:r w:rsidRPr="00D8089C">
        <w:rPr>
          <w:rFonts w:eastAsia="Times New Roman" w:cs="Times New Roman"/>
          <w:kern w:val="0"/>
          <w:szCs w:val="24"/>
          <w14:ligatures w14:val="none"/>
        </w:rPr>
        <w:t>(1), 97–117. http://www.jstor.org/stable/24384118</w:t>
      </w:r>
    </w:p>
    <w:p w14:paraId="613665A7" w14:textId="77777777" w:rsidR="00A729C3" w:rsidRDefault="00A729C3" w:rsidP="00DA7085">
      <w:pPr>
        <w:spacing w:line="480" w:lineRule="auto"/>
        <w:ind w:left="720" w:hanging="720"/>
        <w:jc w:val="both"/>
        <w:rPr>
          <w:rFonts w:eastAsia="Times New Roman" w:cs="Times New Roman"/>
          <w:kern w:val="0"/>
          <w:szCs w:val="24"/>
          <w14:ligatures w14:val="none"/>
        </w:rPr>
      </w:pPr>
      <w:r w:rsidRPr="00683303">
        <w:rPr>
          <w:rFonts w:eastAsia="Times New Roman" w:cs="Times New Roman"/>
          <w:kern w:val="0"/>
          <w:szCs w:val="24"/>
          <w14:ligatures w14:val="none"/>
        </w:rPr>
        <w:t xml:space="preserve">Beazer, Q. H., &amp; Woo, B. (2016). IMF Conditionality, Government Partisanship, and the Progress of Economic Reforms. </w:t>
      </w:r>
      <w:r w:rsidRPr="00683303">
        <w:rPr>
          <w:rFonts w:eastAsia="Times New Roman" w:cs="Times New Roman"/>
          <w:i/>
          <w:iCs/>
          <w:kern w:val="0"/>
          <w:szCs w:val="24"/>
          <w14:ligatures w14:val="none"/>
        </w:rPr>
        <w:t>American Journal of Political Science</w:t>
      </w:r>
      <w:r w:rsidRPr="00683303">
        <w:rPr>
          <w:rFonts w:eastAsia="Times New Roman" w:cs="Times New Roman"/>
          <w:kern w:val="0"/>
          <w:szCs w:val="24"/>
          <w14:ligatures w14:val="none"/>
        </w:rPr>
        <w:t xml:space="preserve">, </w:t>
      </w:r>
      <w:r w:rsidRPr="00683303">
        <w:rPr>
          <w:rFonts w:eastAsia="Times New Roman" w:cs="Times New Roman"/>
          <w:i/>
          <w:iCs/>
          <w:kern w:val="0"/>
          <w:szCs w:val="24"/>
          <w14:ligatures w14:val="none"/>
        </w:rPr>
        <w:t>60</w:t>
      </w:r>
      <w:r w:rsidRPr="00683303">
        <w:rPr>
          <w:rFonts w:eastAsia="Times New Roman" w:cs="Times New Roman"/>
          <w:kern w:val="0"/>
          <w:szCs w:val="24"/>
          <w14:ligatures w14:val="none"/>
        </w:rPr>
        <w:t>(2), 304–321. http://www.jstor.org/stable/24877623</w:t>
      </w:r>
    </w:p>
    <w:p w14:paraId="7EE69E51" w14:textId="77777777" w:rsidR="00A729C3" w:rsidRDefault="00A729C3" w:rsidP="00DA7085">
      <w:pPr>
        <w:spacing w:before="100" w:beforeAutospacing="1" w:after="100" w:afterAutospacing="1" w:line="480" w:lineRule="auto"/>
        <w:ind w:left="720" w:hanging="720"/>
        <w:jc w:val="both"/>
        <w:rPr>
          <w:rFonts w:eastAsia="Times New Roman" w:cs="Times New Roman"/>
          <w:kern w:val="0"/>
          <w:szCs w:val="24"/>
          <w14:ligatures w14:val="none"/>
        </w:rPr>
      </w:pPr>
      <w:r w:rsidRPr="00822BAF">
        <w:rPr>
          <w:rFonts w:eastAsia="Times New Roman" w:cs="Times New Roman"/>
          <w:kern w:val="0"/>
          <w:szCs w:val="24"/>
          <w14:ligatures w14:val="none"/>
        </w:rPr>
        <w:t xml:space="preserve">Bradlow, D. </w:t>
      </w:r>
      <w:r>
        <w:rPr>
          <w:rFonts w:eastAsia="Times New Roman" w:cs="Times New Roman"/>
          <w:kern w:val="0"/>
          <w:szCs w:val="24"/>
          <w14:ligatures w14:val="none"/>
        </w:rPr>
        <w:t>D</w:t>
      </w:r>
      <w:r w:rsidRPr="00822BAF">
        <w:rPr>
          <w:rFonts w:eastAsia="Times New Roman" w:cs="Times New Roman"/>
          <w:kern w:val="0"/>
          <w:szCs w:val="24"/>
          <w14:ligatures w14:val="none"/>
        </w:rPr>
        <w:t>. (</w:t>
      </w:r>
      <w:r>
        <w:rPr>
          <w:rFonts w:eastAsia="Times New Roman" w:cs="Times New Roman"/>
          <w:kern w:val="0"/>
          <w:szCs w:val="24"/>
          <w14:ligatures w14:val="none"/>
        </w:rPr>
        <w:t>2006</w:t>
      </w:r>
      <w:r w:rsidRPr="00822BAF">
        <w:rPr>
          <w:rFonts w:eastAsia="Times New Roman" w:cs="Times New Roman"/>
          <w:kern w:val="0"/>
          <w:szCs w:val="24"/>
          <w14:ligatures w14:val="none"/>
        </w:rPr>
        <w:t>).</w:t>
      </w:r>
      <w:r>
        <w:rPr>
          <w:rFonts w:eastAsia="Times New Roman" w:cs="Times New Roman"/>
          <w:kern w:val="0"/>
          <w:szCs w:val="24"/>
          <w14:ligatures w14:val="none"/>
        </w:rPr>
        <w:t xml:space="preserve"> </w:t>
      </w:r>
      <w:r w:rsidRPr="00F058E2">
        <w:rPr>
          <w:rFonts w:eastAsia="Times New Roman" w:cs="Times New Roman"/>
          <w:kern w:val="0"/>
          <w:szCs w:val="24"/>
          <w14:ligatures w14:val="none"/>
        </w:rPr>
        <w:t>The Governance of the IMF: The Need for Comprehensive Reform G24 Technical</w:t>
      </w:r>
      <w:r>
        <w:rPr>
          <w:rFonts w:eastAsia="Times New Roman" w:cs="Times New Roman"/>
          <w:kern w:val="0"/>
          <w:szCs w:val="24"/>
          <w14:ligatures w14:val="none"/>
        </w:rPr>
        <w:t xml:space="preserve"> </w:t>
      </w:r>
      <w:r w:rsidRPr="00F058E2">
        <w:rPr>
          <w:rFonts w:eastAsia="Times New Roman" w:cs="Times New Roman"/>
          <w:kern w:val="0"/>
          <w:szCs w:val="24"/>
          <w14:ligatures w14:val="none"/>
        </w:rPr>
        <w:t xml:space="preserve">Committee Meeting, Singapore, </w:t>
      </w:r>
      <w:hyperlink r:id="rId7" w:tgtFrame="_blank" w:history="1">
        <w:r w:rsidRPr="00F058E2">
          <w:rPr>
            <w:rStyle w:val="Hyperlink"/>
            <w:rFonts w:eastAsia="Times New Roman" w:cs="Times New Roman"/>
            <w:kern w:val="0"/>
            <w:szCs w:val="24"/>
            <w14:ligatures w14:val="none"/>
          </w:rPr>
          <w:t>http://dx.doi.org/10.2139/ssrn.928467</w:t>
        </w:r>
      </w:hyperlink>
    </w:p>
    <w:p w14:paraId="705483C8" w14:textId="77777777" w:rsidR="00A729C3" w:rsidRPr="00CB68BD" w:rsidRDefault="00A729C3" w:rsidP="00DA7085">
      <w:pPr>
        <w:spacing w:before="100" w:beforeAutospacing="1" w:after="100" w:afterAutospacing="1" w:line="480" w:lineRule="auto"/>
        <w:ind w:left="720" w:hanging="720"/>
        <w:jc w:val="both"/>
        <w:rPr>
          <w:rFonts w:eastAsia="Times New Roman" w:cs="Times New Roman"/>
          <w:kern w:val="0"/>
          <w:szCs w:val="24"/>
          <w14:ligatures w14:val="none"/>
        </w:rPr>
      </w:pPr>
      <w:r w:rsidRPr="00CB68BD">
        <w:rPr>
          <w:rFonts w:eastAsia="Times New Roman" w:cs="Times New Roman"/>
          <w:kern w:val="0"/>
          <w:szCs w:val="24"/>
          <w14:ligatures w14:val="none"/>
        </w:rPr>
        <w:t xml:space="preserve">Dembele, D. M. (2005). THE INTERNATIONAL MONETARY FUND AND WORLD BANK IN AFRICA: A “DISASTROUS” RECORD. </w:t>
      </w:r>
      <w:r w:rsidRPr="00CB68BD">
        <w:rPr>
          <w:rFonts w:eastAsia="Times New Roman" w:cs="Times New Roman"/>
          <w:i/>
          <w:iCs/>
          <w:kern w:val="0"/>
          <w:szCs w:val="24"/>
          <w14:ligatures w14:val="none"/>
        </w:rPr>
        <w:t>International Journal of Health Services</w:t>
      </w:r>
      <w:r w:rsidRPr="00CB68BD">
        <w:rPr>
          <w:rFonts w:eastAsia="Times New Roman" w:cs="Times New Roman"/>
          <w:kern w:val="0"/>
          <w:szCs w:val="24"/>
          <w14:ligatures w14:val="none"/>
        </w:rPr>
        <w:t xml:space="preserve">, </w:t>
      </w:r>
      <w:r w:rsidRPr="00CB68BD">
        <w:rPr>
          <w:rFonts w:eastAsia="Times New Roman" w:cs="Times New Roman"/>
          <w:i/>
          <w:iCs/>
          <w:kern w:val="0"/>
          <w:szCs w:val="24"/>
          <w14:ligatures w14:val="none"/>
        </w:rPr>
        <w:t>35</w:t>
      </w:r>
      <w:r w:rsidRPr="00CB68BD">
        <w:rPr>
          <w:rFonts w:eastAsia="Times New Roman" w:cs="Times New Roman"/>
          <w:kern w:val="0"/>
          <w:szCs w:val="24"/>
          <w14:ligatures w14:val="none"/>
        </w:rPr>
        <w:t>(2), 389–398. http://www.jstor.org/stable/45138307</w:t>
      </w:r>
    </w:p>
    <w:p w14:paraId="75508152" w14:textId="77777777" w:rsidR="00A729C3" w:rsidRPr="00F3521E" w:rsidRDefault="00A729C3" w:rsidP="00DA7085">
      <w:pPr>
        <w:spacing w:line="480" w:lineRule="auto"/>
        <w:ind w:left="720" w:hanging="720"/>
        <w:jc w:val="both"/>
        <w:rPr>
          <w:rFonts w:eastAsia="Times New Roman" w:cs="Times New Roman"/>
          <w:kern w:val="0"/>
          <w:szCs w:val="24"/>
          <w14:ligatures w14:val="none"/>
        </w:rPr>
      </w:pPr>
      <w:r w:rsidRPr="00F3521E">
        <w:rPr>
          <w:rFonts w:eastAsia="Times New Roman" w:cs="Times New Roman"/>
          <w:kern w:val="0"/>
          <w:szCs w:val="24"/>
          <w14:ligatures w14:val="none"/>
        </w:rPr>
        <w:t xml:space="preserve">Dreher, A., Sturm, J.-E., &amp; Vreeland, J. R. (2015). Politics and IMF Conditionality. </w:t>
      </w:r>
      <w:r w:rsidRPr="00F3521E">
        <w:rPr>
          <w:rFonts w:eastAsia="Times New Roman" w:cs="Times New Roman"/>
          <w:i/>
          <w:iCs/>
          <w:kern w:val="0"/>
          <w:szCs w:val="24"/>
          <w14:ligatures w14:val="none"/>
        </w:rPr>
        <w:t>The Journal of Conflict Resolution</w:t>
      </w:r>
      <w:r w:rsidRPr="00F3521E">
        <w:rPr>
          <w:rFonts w:eastAsia="Times New Roman" w:cs="Times New Roman"/>
          <w:kern w:val="0"/>
          <w:szCs w:val="24"/>
          <w14:ligatures w14:val="none"/>
        </w:rPr>
        <w:t xml:space="preserve">, </w:t>
      </w:r>
      <w:r w:rsidRPr="00F3521E">
        <w:rPr>
          <w:rFonts w:eastAsia="Times New Roman" w:cs="Times New Roman"/>
          <w:i/>
          <w:iCs/>
          <w:kern w:val="0"/>
          <w:szCs w:val="24"/>
          <w14:ligatures w14:val="none"/>
        </w:rPr>
        <w:t>59</w:t>
      </w:r>
      <w:r w:rsidRPr="00F3521E">
        <w:rPr>
          <w:rFonts w:eastAsia="Times New Roman" w:cs="Times New Roman"/>
          <w:kern w:val="0"/>
          <w:szCs w:val="24"/>
          <w14:ligatures w14:val="none"/>
        </w:rPr>
        <w:t>(1), 120–148. http://www.jstor.org/stable/24546221</w:t>
      </w:r>
    </w:p>
    <w:p w14:paraId="2C7E15C2" w14:textId="77777777" w:rsidR="00A729C3" w:rsidRPr="00362919" w:rsidRDefault="00A729C3" w:rsidP="00DA7085">
      <w:pPr>
        <w:spacing w:line="480" w:lineRule="auto"/>
        <w:ind w:left="720" w:hanging="720"/>
        <w:jc w:val="both"/>
        <w:rPr>
          <w:rFonts w:eastAsia="Times New Roman" w:cs="Times New Roman"/>
          <w:kern w:val="0"/>
          <w:szCs w:val="24"/>
          <w14:ligatures w14:val="none"/>
        </w:rPr>
      </w:pPr>
      <w:proofErr w:type="spellStart"/>
      <w:r w:rsidRPr="00362919">
        <w:rPr>
          <w:rFonts w:eastAsia="Times New Roman" w:cs="Times New Roman"/>
          <w:kern w:val="0"/>
          <w:szCs w:val="24"/>
          <w14:ligatures w14:val="none"/>
        </w:rPr>
        <w:t>Eichengreen</w:t>
      </w:r>
      <w:proofErr w:type="spellEnd"/>
      <w:r w:rsidRPr="00362919">
        <w:rPr>
          <w:rFonts w:eastAsia="Times New Roman" w:cs="Times New Roman"/>
          <w:kern w:val="0"/>
          <w:szCs w:val="24"/>
          <w14:ligatures w14:val="none"/>
        </w:rPr>
        <w:t xml:space="preserve">, B., &amp; Woods, N. (2016). The IMF’s Unmet Challenges. </w:t>
      </w:r>
      <w:r w:rsidRPr="00362919">
        <w:rPr>
          <w:rFonts w:eastAsia="Times New Roman" w:cs="Times New Roman"/>
          <w:i/>
          <w:iCs/>
          <w:kern w:val="0"/>
          <w:szCs w:val="24"/>
          <w14:ligatures w14:val="none"/>
        </w:rPr>
        <w:t>The Journal of Economic Perspectives</w:t>
      </w:r>
      <w:r w:rsidRPr="00362919">
        <w:rPr>
          <w:rFonts w:eastAsia="Times New Roman" w:cs="Times New Roman"/>
          <w:kern w:val="0"/>
          <w:szCs w:val="24"/>
          <w14:ligatures w14:val="none"/>
        </w:rPr>
        <w:t xml:space="preserve">, </w:t>
      </w:r>
      <w:r w:rsidRPr="00362919">
        <w:rPr>
          <w:rFonts w:eastAsia="Times New Roman" w:cs="Times New Roman"/>
          <w:i/>
          <w:iCs/>
          <w:kern w:val="0"/>
          <w:szCs w:val="24"/>
          <w14:ligatures w14:val="none"/>
        </w:rPr>
        <w:t>30</w:t>
      </w:r>
      <w:r w:rsidRPr="00362919">
        <w:rPr>
          <w:rFonts w:eastAsia="Times New Roman" w:cs="Times New Roman"/>
          <w:kern w:val="0"/>
          <w:szCs w:val="24"/>
          <w14:ligatures w14:val="none"/>
        </w:rPr>
        <w:t>(1), 29–51. http://www.jstor.org/stable/43710009</w:t>
      </w:r>
    </w:p>
    <w:p w14:paraId="7C158DC3" w14:textId="77777777" w:rsidR="00A729C3" w:rsidRPr="00B965F4" w:rsidRDefault="00A729C3" w:rsidP="00DA7085">
      <w:pPr>
        <w:spacing w:line="480" w:lineRule="auto"/>
        <w:ind w:left="720" w:hanging="720"/>
        <w:jc w:val="both"/>
        <w:rPr>
          <w:rFonts w:eastAsia="Times New Roman" w:cs="Times New Roman"/>
          <w:kern w:val="0"/>
          <w:szCs w:val="24"/>
          <w14:ligatures w14:val="none"/>
        </w:rPr>
      </w:pPr>
      <w:r w:rsidRPr="00B965F4">
        <w:rPr>
          <w:rFonts w:eastAsia="Times New Roman" w:cs="Times New Roman"/>
          <w:kern w:val="0"/>
          <w:szCs w:val="24"/>
          <w14:ligatures w14:val="none"/>
        </w:rPr>
        <w:t xml:space="preserve">Kapur, D. (1998). The IMF: A Cure or a Curse? </w:t>
      </w:r>
      <w:r w:rsidRPr="00B965F4">
        <w:rPr>
          <w:rFonts w:eastAsia="Times New Roman" w:cs="Times New Roman"/>
          <w:i/>
          <w:iCs/>
          <w:kern w:val="0"/>
          <w:szCs w:val="24"/>
          <w14:ligatures w14:val="none"/>
        </w:rPr>
        <w:t>Foreign Policy</w:t>
      </w:r>
      <w:r w:rsidRPr="00B965F4">
        <w:rPr>
          <w:rFonts w:eastAsia="Times New Roman" w:cs="Times New Roman"/>
          <w:kern w:val="0"/>
          <w:szCs w:val="24"/>
          <w14:ligatures w14:val="none"/>
        </w:rPr>
        <w:t xml:space="preserve">, </w:t>
      </w:r>
      <w:r w:rsidRPr="00B965F4">
        <w:rPr>
          <w:rFonts w:eastAsia="Times New Roman" w:cs="Times New Roman"/>
          <w:i/>
          <w:iCs/>
          <w:kern w:val="0"/>
          <w:szCs w:val="24"/>
          <w14:ligatures w14:val="none"/>
        </w:rPr>
        <w:t>111</w:t>
      </w:r>
      <w:r w:rsidRPr="00B965F4">
        <w:rPr>
          <w:rFonts w:eastAsia="Times New Roman" w:cs="Times New Roman"/>
          <w:kern w:val="0"/>
          <w:szCs w:val="24"/>
          <w14:ligatures w14:val="none"/>
        </w:rPr>
        <w:t>, 114–129. https://doi.org/10.2307/1149382</w:t>
      </w:r>
    </w:p>
    <w:p w14:paraId="61EC6D52" w14:textId="77777777" w:rsidR="00A729C3" w:rsidRPr="005B1C94" w:rsidRDefault="00A729C3" w:rsidP="00DA7085">
      <w:pPr>
        <w:spacing w:line="480" w:lineRule="auto"/>
        <w:ind w:left="720" w:hanging="720"/>
        <w:jc w:val="both"/>
        <w:rPr>
          <w:rFonts w:eastAsia="Times New Roman" w:cs="Times New Roman"/>
          <w:kern w:val="0"/>
          <w:szCs w:val="24"/>
          <w14:ligatures w14:val="none"/>
        </w:rPr>
      </w:pPr>
      <w:r w:rsidRPr="005B1C94">
        <w:rPr>
          <w:rFonts w:eastAsia="Times New Roman" w:cs="Times New Roman"/>
          <w:kern w:val="0"/>
          <w:szCs w:val="24"/>
          <w14:ligatures w14:val="none"/>
        </w:rPr>
        <w:t xml:space="preserve">Nooruddin, I., &amp; Simmons, J. W. (2006). The Politics of Hard Choices: IMF Programs and Government Spending. </w:t>
      </w:r>
      <w:r w:rsidRPr="005B1C94">
        <w:rPr>
          <w:rFonts w:eastAsia="Times New Roman" w:cs="Times New Roman"/>
          <w:i/>
          <w:iCs/>
          <w:kern w:val="0"/>
          <w:szCs w:val="24"/>
          <w14:ligatures w14:val="none"/>
        </w:rPr>
        <w:t>International Organization</w:t>
      </w:r>
      <w:r w:rsidRPr="005B1C94">
        <w:rPr>
          <w:rFonts w:eastAsia="Times New Roman" w:cs="Times New Roman"/>
          <w:kern w:val="0"/>
          <w:szCs w:val="24"/>
          <w14:ligatures w14:val="none"/>
        </w:rPr>
        <w:t xml:space="preserve">, </w:t>
      </w:r>
      <w:r w:rsidRPr="005B1C94">
        <w:rPr>
          <w:rFonts w:eastAsia="Times New Roman" w:cs="Times New Roman"/>
          <w:i/>
          <w:iCs/>
          <w:kern w:val="0"/>
          <w:szCs w:val="24"/>
          <w14:ligatures w14:val="none"/>
        </w:rPr>
        <w:t>60</w:t>
      </w:r>
      <w:r w:rsidRPr="005B1C94">
        <w:rPr>
          <w:rFonts w:eastAsia="Times New Roman" w:cs="Times New Roman"/>
          <w:kern w:val="0"/>
          <w:szCs w:val="24"/>
          <w14:ligatures w14:val="none"/>
        </w:rPr>
        <w:t>(4), 1001–1033. http://www.jstor.org/stable/3877854</w:t>
      </w:r>
    </w:p>
    <w:p w14:paraId="462AC9D1" w14:textId="77777777" w:rsidR="00A729C3" w:rsidRPr="007B7320" w:rsidRDefault="00A729C3" w:rsidP="00DA7085">
      <w:pPr>
        <w:spacing w:before="240" w:line="480" w:lineRule="auto"/>
        <w:ind w:left="720" w:hanging="720"/>
        <w:jc w:val="both"/>
        <w:rPr>
          <w:rFonts w:eastAsia="Times New Roman" w:cs="Times New Roman"/>
          <w:kern w:val="0"/>
          <w:szCs w:val="24"/>
          <w14:ligatures w14:val="none"/>
        </w:rPr>
      </w:pPr>
      <w:r w:rsidRPr="007B7320">
        <w:rPr>
          <w:rFonts w:eastAsia="Times New Roman" w:cs="Times New Roman"/>
          <w:kern w:val="0"/>
          <w:szCs w:val="24"/>
          <w14:ligatures w14:val="none"/>
        </w:rPr>
        <w:lastRenderedPageBreak/>
        <w:t xml:space="preserve">PAPI, L., PRESBITERO, A. F., &amp; ZAZZARO, A. (2015). IMF Lending and Banking Crises. </w:t>
      </w:r>
      <w:r w:rsidRPr="007B7320">
        <w:rPr>
          <w:rFonts w:eastAsia="Times New Roman" w:cs="Times New Roman"/>
          <w:i/>
          <w:iCs/>
          <w:kern w:val="0"/>
          <w:szCs w:val="24"/>
          <w14:ligatures w14:val="none"/>
        </w:rPr>
        <w:t>IMF Economic Review</w:t>
      </w:r>
      <w:r w:rsidRPr="007B7320">
        <w:rPr>
          <w:rFonts w:eastAsia="Times New Roman" w:cs="Times New Roman"/>
          <w:kern w:val="0"/>
          <w:szCs w:val="24"/>
          <w14:ligatures w14:val="none"/>
        </w:rPr>
        <w:t xml:space="preserve">, </w:t>
      </w:r>
      <w:r w:rsidRPr="007B7320">
        <w:rPr>
          <w:rFonts w:eastAsia="Times New Roman" w:cs="Times New Roman"/>
          <w:i/>
          <w:iCs/>
          <w:kern w:val="0"/>
          <w:szCs w:val="24"/>
          <w14:ligatures w14:val="none"/>
        </w:rPr>
        <w:t>63</w:t>
      </w:r>
      <w:r w:rsidRPr="007B7320">
        <w:rPr>
          <w:rFonts w:eastAsia="Times New Roman" w:cs="Times New Roman"/>
          <w:kern w:val="0"/>
          <w:szCs w:val="24"/>
          <w14:ligatures w14:val="none"/>
        </w:rPr>
        <w:t>(3), 644–691. http://www.jstor.org/stable/24738107</w:t>
      </w:r>
    </w:p>
    <w:p w14:paraId="728D2765" w14:textId="77777777" w:rsidR="00A729C3" w:rsidRPr="00647C45" w:rsidRDefault="00A729C3" w:rsidP="00DA7085">
      <w:pPr>
        <w:spacing w:line="480" w:lineRule="auto"/>
        <w:ind w:left="720" w:hanging="720"/>
        <w:jc w:val="both"/>
        <w:rPr>
          <w:rFonts w:eastAsia="Times New Roman" w:cs="Times New Roman"/>
          <w:kern w:val="0"/>
          <w:szCs w:val="24"/>
          <w14:ligatures w14:val="none"/>
        </w:rPr>
      </w:pPr>
      <w:r w:rsidRPr="00647C45">
        <w:rPr>
          <w:rFonts w:eastAsia="Times New Roman" w:cs="Times New Roman"/>
          <w:kern w:val="0"/>
          <w:szCs w:val="24"/>
          <w14:ligatures w14:val="none"/>
        </w:rPr>
        <w:t xml:space="preserve">Reinhart, C. M., &amp; Trebesch, C. (2016). The International Monetary Fund: 70 Years of Reinvention. </w:t>
      </w:r>
      <w:r w:rsidRPr="00647C45">
        <w:rPr>
          <w:rFonts w:eastAsia="Times New Roman" w:cs="Times New Roman"/>
          <w:i/>
          <w:iCs/>
          <w:kern w:val="0"/>
          <w:szCs w:val="24"/>
          <w14:ligatures w14:val="none"/>
        </w:rPr>
        <w:t>The Journal of Economic Perspectives</w:t>
      </w:r>
      <w:r w:rsidRPr="00647C45">
        <w:rPr>
          <w:rFonts w:eastAsia="Times New Roman" w:cs="Times New Roman"/>
          <w:kern w:val="0"/>
          <w:szCs w:val="24"/>
          <w14:ligatures w14:val="none"/>
        </w:rPr>
        <w:t xml:space="preserve">, </w:t>
      </w:r>
      <w:r w:rsidRPr="00647C45">
        <w:rPr>
          <w:rFonts w:eastAsia="Times New Roman" w:cs="Times New Roman"/>
          <w:i/>
          <w:iCs/>
          <w:kern w:val="0"/>
          <w:szCs w:val="24"/>
          <w14:ligatures w14:val="none"/>
        </w:rPr>
        <w:t>30</w:t>
      </w:r>
      <w:r w:rsidRPr="00647C45">
        <w:rPr>
          <w:rFonts w:eastAsia="Times New Roman" w:cs="Times New Roman"/>
          <w:kern w:val="0"/>
          <w:szCs w:val="24"/>
          <w14:ligatures w14:val="none"/>
        </w:rPr>
        <w:t>(1), 3–27. http://www.jstor.org/stable/43710008</w:t>
      </w:r>
    </w:p>
    <w:p w14:paraId="2C2D510B" w14:textId="77777777" w:rsidR="00A729C3" w:rsidRPr="00DF391E" w:rsidRDefault="00A729C3" w:rsidP="00DA7085">
      <w:pPr>
        <w:spacing w:line="480" w:lineRule="auto"/>
        <w:ind w:left="720" w:hanging="720"/>
        <w:jc w:val="both"/>
        <w:rPr>
          <w:rFonts w:eastAsia="Times New Roman" w:cs="Times New Roman"/>
          <w:kern w:val="0"/>
          <w:szCs w:val="24"/>
          <w14:ligatures w14:val="none"/>
        </w:rPr>
      </w:pPr>
      <w:r w:rsidRPr="00DF391E">
        <w:rPr>
          <w:rFonts w:eastAsia="Times New Roman" w:cs="Times New Roman"/>
          <w:kern w:val="0"/>
          <w:szCs w:val="24"/>
          <w14:ligatures w14:val="none"/>
        </w:rPr>
        <w:t xml:space="preserve">Stone, R. W. (2004). The Political Economy of IMF Lending in Africa. </w:t>
      </w:r>
      <w:r w:rsidRPr="00DF391E">
        <w:rPr>
          <w:rFonts w:eastAsia="Times New Roman" w:cs="Times New Roman"/>
          <w:i/>
          <w:iCs/>
          <w:kern w:val="0"/>
          <w:szCs w:val="24"/>
          <w14:ligatures w14:val="none"/>
        </w:rPr>
        <w:t>The American Political Science Review</w:t>
      </w:r>
      <w:r w:rsidRPr="00DF391E">
        <w:rPr>
          <w:rFonts w:eastAsia="Times New Roman" w:cs="Times New Roman"/>
          <w:kern w:val="0"/>
          <w:szCs w:val="24"/>
          <w14:ligatures w14:val="none"/>
        </w:rPr>
        <w:t xml:space="preserve">, </w:t>
      </w:r>
      <w:r w:rsidRPr="00DF391E">
        <w:rPr>
          <w:rFonts w:eastAsia="Times New Roman" w:cs="Times New Roman"/>
          <w:i/>
          <w:iCs/>
          <w:kern w:val="0"/>
          <w:szCs w:val="24"/>
          <w14:ligatures w14:val="none"/>
        </w:rPr>
        <w:t>98</w:t>
      </w:r>
      <w:r w:rsidRPr="00DF391E">
        <w:rPr>
          <w:rFonts w:eastAsia="Times New Roman" w:cs="Times New Roman"/>
          <w:kern w:val="0"/>
          <w:szCs w:val="24"/>
          <w14:ligatures w14:val="none"/>
        </w:rPr>
        <w:t>(4), 577–591. http://www.jstor.org/stable/4145326</w:t>
      </w:r>
    </w:p>
    <w:p w14:paraId="618AD681" w14:textId="77777777" w:rsidR="00A729C3" w:rsidRPr="00B76DE2" w:rsidRDefault="00A729C3" w:rsidP="00DA7085">
      <w:pPr>
        <w:spacing w:before="240" w:line="480" w:lineRule="auto"/>
        <w:ind w:left="720" w:hanging="720"/>
        <w:jc w:val="both"/>
        <w:rPr>
          <w:rFonts w:eastAsia="Times New Roman" w:cs="Times New Roman"/>
          <w:kern w:val="0"/>
          <w:szCs w:val="24"/>
          <w14:ligatures w14:val="none"/>
        </w:rPr>
      </w:pPr>
      <w:r w:rsidRPr="00B76DE2">
        <w:rPr>
          <w:rFonts w:eastAsia="Times New Roman" w:cs="Times New Roman"/>
          <w:kern w:val="0"/>
          <w:szCs w:val="24"/>
          <w14:ligatures w14:val="none"/>
        </w:rPr>
        <w:t xml:space="preserve">Thacker, S. C. (1999). The High Politics of IMF Lending. </w:t>
      </w:r>
      <w:r w:rsidRPr="00B76DE2">
        <w:rPr>
          <w:rFonts w:eastAsia="Times New Roman" w:cs="Times New Roman"/>
          <w:i/>
          <w:iCs/>
          <w:kern w:val="0"/>
          <w:szCs w:val="24"/>
          <w14:ligatures w14:val="none"/>
        </w:rPr>
        <w:t>World Politics</w:t>
      </w:r>
      <w:r w:rsidRPr="00B76DE2">
        <w:rPr>
          <w:rFonts w:eastAsia="Times New Roman" w:cs="Times New Roman"/>
          <w:kern w:val="0"/>
          <w:szCs w:val="24"/>
          <w14:ligatures w14:val="none"/>
        </w:rPr>
        <w:t xml:space="preserve">, </w:t>
      </w:r>
      <w:r w:rsidRPr="00B76DE2">
        <w:rPr>
          <w:rFonts w:eastAsia="Times New Roman" w:cs="Times New Roman"/>
          <w:i/>
          <w:iCs/>
          <w:kern w:val="0"/>
          <w:szCs w:val="24"/>
          <w14:ligatures w14:val="none"/>
        </w:rPr>
        <w:t>52</w:t>
      </w:r>
      <w:r w:rsidRPr="00B76DE2">
        <w:rPr>
          <w:rFonts w:eastAsia="Times New Roman" w:cs="Times New Roman"/>
          <w:kern w:val="0"/>
          <w:szCs w:val="24"/>
          <w14:ligatures w14:val="none"/>
        </w:rPr>
        <w:t>(1), 38–75. http://www.jstor.org/stable/25054100</w:t>
      </w:r>
    </w:p>
    <w:p w14:paraId="265405F4" w14:textId="77777777" w:rsidR="00A729C3" w:rsidRPr="007D783A" w:rsidRDefault="00A729C3" w:rsidP="00DA7085">
      <w:pPr>
        <w:spacing w:line="480" w:lineRule="auto"/>
        <w:ind w:left="720" w:hanging="720"/>
        <w:jc w:val="both"/>
        <w:rPr>
          <w:rFonts w:eastAsia="Times New Roman" w:cs="Times New Roman"/>
          <w:kern w:val="0"/>
          <w:szCs w:val="24"/>
          <w14:ligatures w14:val="none"/>
        </w:rPr>
      </w:pPr>
      <w:r w:rsidRPr="007D783A">
        <w:rPr>
          <w:rFonts w:eastAsia="Times New Roman" w:cs="Times New Roman"/>
          <w:kern w:val="0"/>
          <w:szCs w:val="24"/>
          <w14:ligatures w14:val="none"/>
        </w:rPr>
        <w:t xml:space="preserve">Willett, T. D. (2001). Understanding the IMF Debate. </w:t>
      </w:r>
      <w:r w:rsidRPr="007D783A">
        <w:rPr>
          <w:rFonts w:eastAsia="Times New Roman" w:cs="Times New Roman"/>
          <w:i/>
          <w:iCs/>
          <w:kern w:val="0"/>
          <w:szCs w:val="24"/>
          <w14:ligatures w14:val="none"/>
        </w:rPr>
        <w:t>The Independent Review</w:t>
      </w:r>
      <w:r w:rsidRPr="007D783A">
        <w:rPr>
          <w:rFonts w:eastAsia="Times New Roman" w:cs="Times New Roman"/>
          <w:kern w:val="0"/>
          <w:szCs w:val="24"/>
          <w14:ligatures w14:val="none"/>
        </w:rPr>
        <w:t xml:space="preserve">, </w:t>
      </w:r>
      <w:r w:rsidRPr="007D783A">
        <w:rPr>
          <w:rFonts w:eastAsia="Times New Roman" w:cs="Times New Roman"/>
          <w:i/>
          <w:iCs/>
          <w:kern w:val="0"/>
          <w:szCs w:val="24"/>
          <w14:ligatures w14:val="none"/>
        </w:rPr>
        <w:t>5</w:t>
      </w:r>
      <w:r w:rsidRPr="007D783A">
        <w:rPr>
          <w:rFonts w:eastAsia="Times New Roman" w:cs="Times New Roman"/>
          <w:kern w:val="0"/>
          <w:szCs w:val="24"/>
          <w14:ligatures w14:val="none"/>
        </w:rPr>
        <w:t>(4), 593–610. http://www.jstor.org/stable/24562635</w:t>
      </w:r>
    </w:p>
    <w:p w14:paraId="00753B7C" w14:textId="77777777" w:rsidR="00A729C3" w:rsidRDefault="00A729C3" w:rsidP="00DA7085">
      <w:pPr>
        <w:spacing w:line="480" w:lineRule="auto"/>
        <w:ind w:left="720" w:hanging="720"/>
        <w:jc w:val="both"/>
        <w:rPr>
          <w:rFonts w:eastAsia="Times New Roman" w:cs="Times New Roman"/>
          <w:kern w:val="0"/>
          <w:szCs w:val="24"/>
          <w14:ligatures w14:val="none"/>
        </w:rPr>
      </w:pPr>
      <w:r w:rsidRPr="00CB416E">
        <w:rPr>
          <w:rFonts w:eastAsia="Times New Roman" w:cs="Times New Roman"/>
          <w:kern w:val="0"/>
          <w:szCs w:val="24"/>
          <w14:ligatures w14:val="none"/>
        </w:rPr>
        <w:t xml:space="preserve">Y. V. Reddy. (2003). IMF: Concerns, Dilemmas and Issues. </w:t>
      </w:r>
      <w:r w:rsidRPr="00CB416E">
        <w:rPr>
          <w:rFonts w:eastAsia="Times New Roman" w:cs="Times New Roman"/>
          <w:i/>
          <w:iCs/>
          <w:kern w:val="0"/>
          <w:szCs w:val="24"/>
          <w14:ligatures w14:val="none"/>
        </w:rPr>
        <w:t>Economic and Political Weekly</w:t>
      </w:r>
      <w:r w:rsidRPr="00CB416E">
        <w:rPr>
          <w:rFonts w:eastAsia="Times New Roman" w:cs="Times New Roman"/>
          <w:kern w:val="0"/>
          <w:szCs w:val="24"/>
          <w14:ligatures w14:val="none"/>
        </w:rPr>
        <w:t xml:space="preserve">, </w:t>
      </w:r>
      <w:r w:rsidRPr="00CB416E">
        <w:rPr>
          <w:rFonts w:eastAsia="Times New Roman" w:cs="Times New Roman"/>
          <w:i/>
          <w:iCs/>
          <w:kern w:val="0"/>
          <w:szCs w:val="24"/>
          <w14:ligatures w14:val="none"/>
        </w:rPr>
        <w:t>38</w:t>
      </w:r>
      <w:r w:rsidRPr="00CB416E">
        <w:rPr>
          <w:rFonts w:eastAsia="Times New Roman" w:cs="Times New Roman"/>
          <w:kern w:val="0"/>
          <w:szCs w:val="24"/>
          <w14:ligatures w14:val="none"/>
        </w:rPr>
        <w:t xml:space="preserve">(31), 3304–3314. </w:t>
      </w:r>
      <w:hyperlink r:id="rId8" w:history="1">
        <w:r w:rsidRPr="00CB416E">
          <w:rPr>
            <w:rStyle w:val="Hyperlink"/>
            <w:rFonts w:eastAsia="Times New Roman" w:cs="Times New Roman"/>
            <w:kern w:val="0"/>
            <w:szCs w:val="24"/>
            <w14:ligatures w14:val="none"/>
          </w:rPr>
          <w:t>http://www.jstor.org/stable/4413861</w:t>
        </w:r>
      </w:hyperlink>
    </w:p>
    <w:p w14:paraId="2C2453D1" w14:textId="77777777" w:rsidR="00470A91" w:rsidRPr="002D7E55" w:rsidRDefault="00470A91" w:rsidP="00470A91">
      <w:pPr>
        <w:pStyle w:val="Style1"/>
        <w:jc w:val="left"/>
      </w:pPr>
    </w:p>
    <w:sectPr w:rsidR="00470A91" w:rsidRPr="002D7E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9D4D0" w14:textId="77777777" w:rsidR="00003944" w:rsidRDefault="00003944" w:rsidP="002D7E55">
      <w:pPr>
        <w:spacing w:after="0" w:line="240" w:lineRule="auto"/>
      </w:pPr>
      <w:r>
        <w:separator/>
      </w:r>
    </w:p>
  </w:endnote>
  <w:endnote w:type="continuationSeparator" w:id="0">
    <w:p w14:paraId="0AB88751" w14:textId="77777777" w:rsidR="00003944" w:rsidRDefault="00003944" w:rsidP="002D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8B175" w14:textId="77777777" w:rsidR="00003944" w:rsidRDefault="00003944" w:rsidP="002D7E55">
      <w:pPr>
        <w:spacing w:after="0" w:line="240" w:lineRule="auto"/>
      </w:pPr>
      <w:r>
        <w:separator/>
      </w:r>
    </w:p>
  </w:footnote>
  <w:footnote w:type="continuationSeparator" w:id="0">
    <w:p w14:paraId="3755757D" w14:textId="77777777" w:rsidR="00003944" w:rsidRDefault="00003944" w:rsidP="002D7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763902"/>
      <w:docPartObj>
        <w:docPartGallery w:val="Page Numbers (Top of Page)"/>
        <w:docPartUnique/>
      </w:docPartObj>
    </w:sdtPr>
    <w:sdtEndPr>
      <w:rPr>
        <w:noProof/>
      </w:rPr>
    </w:sdtEndPr>
    <w:sdtContent>
      <w:p w14:paraId="00614AEA" w14:textId="6768E24C" w:rsidR="002D7E55" w:rsidRDefault="002D7E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4570E2" w14:textId="77777777" w:rsidR="002D7E55" w:rsidRDefault="002D7E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B06BB"/>
    <w:multiLevelType w:val="multilevel"/>
    <w:tmpl w:val="BFC4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87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55"/>
    <w:rsid w:val="00003944"/>
    <w:rsid w:val="00077033"/>
    <w:rsid w:val="00092CF5"/>
    <w:rsid w:val="000A17C5"/>
    <w:rsid w:val="000C3AFD"/>
    <w:rsid w:val="0011028E"/>
    <w:rsid w:val="00131EDE"/>
    <w:rsid w:val="00191A62"/>
    <w:rsid w:val="001D3582"/>
    <w:rsid w:val="002D7E55"/>
    <w:rsid w:val="00337807"/>
    <w:rsid w:val="0037560F"/>
    <w:rsid w:val="004272F7"/>
    <w:rsid w:val="00432499"/>
    <w:rsid w:val="00470A91"/>
    <w:rsid w:val="00522BEF"/>
    <w:rsid w:val="00552AD4"/>
    <w:rsid w:val="00593F26"/>
    <w:rsid w:val="005A5298"/>
    <w:rsid w:val="005D3C7B"/>
    <w:rsid w:val="006124C6"/>
    <w:rsid w:val="00623F3C"/>
    <w:rsid w:val="006904F0"/>
    <w:rsid w:val="006F2433"/>
    <w:rsid w:val="00705B09"/>
    <w:rsid w:val="00765E16"/>
    <w:rsid w:val="00787CD6"/>
    <w:rsid w:val="008776A6"/>
    <w:rsid w:val="008F7DF6"/>
    <w:rsid w:val="009A56DB"/>
    <w:rsid w:val="00A729C3"/>
    <w:rsid w:val="00AC1821"/>
    <w:rsid w:val="00B111FE"/>
    <w:rsid w:val="00B36A46"/>
    <w:rsid w:val="00B53AA9"/>
    <w:rsid w:val="00C55525"/>
    <w:rsid w:val="00CB411A"/>
    <w:rsid w:val="00CD546F"/>
    <w:rsid w:val="00D77625"/>
    <w:rsid w:val="00DA7085"/>
    <w:rsid w:val="00DB3628"/>
    <w:rsid w:val="00E87283"/>
    <w:rsid w:val="00F25E9D"/>
    <w:rsid w:val="00F30DF0"/>
    <w:rsid w:val="00F40A2E"/>
    <w:rsid w:val="00F5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1933"/>
  <w15:chartTrackingRefBased/>
  <w15:docId w15:val="{4FE2291F-F4E6-408F-BEDC-25176EC6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AD4"/>
    <w:rPr>
      <w:rFonts w:ascii="Times New Roman" w:hAnsi="Times New Roman"/>
    </w:rPr>
  </w:style>
  <w:style w:type="paragraph" w:styleId="Heading1">
    <w:name w:val="heading 1"/>
    <w:basedOn w:val="Normal"/>
    <w:next w:val="Normal"/>
    <w:link w:val="Heading1Char"/>
    <w:uiPriority w:val="9"/>
    <w:qFormat/>
    <w:rsid w:val="00191A62"/>
    <w:pPr>
      <w:keepNext/>
      <w:keepLines/>
      <w:spacing w:before="240" w:after="24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10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E55"/>
  </w:style>
  <w:style w:type="paragraph" w:styleId="Footer">
    <w:name w:val="footer"/>
    <w:basedOn w:val="Normal"/>
    <w:link w:val="FooterChar"/>
    <w:uiPriority w:val="99"/>
    <w:unhideWhenUsed/>
    <w:rsid w:val="002D7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E55"/>
  </w:style>
  <w:style w:type="paragraph" w:styleId="ListParagraph">
    <w:name w:val="List Paragraph"/>
    <w:basedOn w:val="Normal"/>
    <w:uiPriority w:val="34"/>
    <w:qFormat/>
    <w:rsid w:val="00E87283"/>
    <w:pPr>
      <w:ind w:left="720"/>
      <w:contextualSpacing/>
    </w:pPr>
    <w:rPr>
      <w:rFonts w:asciiTheme="minorHAnsi" w:hAnsiTheme="minorHAnsi"/>
      <w:sz w:val="22"/>
    </w:rPr>
  </w:style>
  <w:style w:type="paragraph" w:customStyle="1" w:styleId="Style1">
    <w:name w:val="Style1"/>
    <w:basedOn w:val="Heading1"/>
    <w:link w:val="Style1Char"/>
    <w:qFormat/>
    <w:rsid w:val="00E87283"/>
  </w:style>
  <w:style w:type="character" w:customStyle="1" w:styleId="Style1Char">
    <w:name w:val="Style1 Char"/>
    <w:basedOn w:val="Heading1Char"/>
    <w:link w:val="Style1"/>
    <w:rsid w:val="00E87283"/>
    <w:rPr>
      <w:rFonts w:asciiTheme="majorHAnsi" w:eastAsiaTheme="majorEastAsia" w:hAnsiTheme="majorHAnsi" w:cstheme="majorBidi"/>
      <w:b/>
      <w:color w:val="2F5496" w:themeColor="accent1" w:themeShade="BF"/>
      <w:sz w:val="32"/>
      <w:szCs w:val="32"/>
    </w:rPr>
  </w:style>
  <w:style w:type="character" w:customStyle="1" w:styleId="Heading1Char">
    <w:name w:val="Heading 1 Char"/>
    <w:basedOn w:val="DefaultParagraphFont"/>
    <w:link w:val="Heading1"/>
    <w:uiPriority w:val="9"/>
    <w:rsid w:val="00191A62"/>
    <w:rPr>
      <w:rFonts w:asciiTheme="majorHAnsi" w:eastAsiaTheme="majorEastAsia" w:hAnsiTheme="majorHAnsi" w:cstheme="majorBidi"/>
      <w:b/>
      <w:szCs w:val="32"/>
    </w:rPr>
  </w:style>
  <w:style w:type="paragraph" w:customStyle="1" w:styleId="Style2">
    <w:name w:val="Style2"/>
    <w:basedOn w:val="Normal"/>
    <w:link w:val="Style2Char"/>
    <w:qFormat/>
    <w:rsid w:val="00552AD4"/>
    <w:pPr>
      <w:spacing w:line="480" w:lineRule="auto"/>
      <w:ind w:firstLine="720"/>
      <w:jc w:val="both"/>
    </w:pPr>
  </w:style>
  <w:style w:type="character" w:customStyle="1" w:styleId="Style2Char">
    <w:name w:val="Style2 Char"/>
    <w:basedOn w:val="DefaultParagraphFont"/>
    <w:link w:val="Style2"/>
    <w:rsid w:val="00552AD4"/>
    <w:rPr>
      <w:rFonts w:ascii="Times New Roman" w:hAnsi="Times New Roman"/>
    </w:rPr>
  </w:style>
  <w:style w:type="paragraph" w:styleId="NormalWeb">
    <w:name w:val="Normal (Web)"/>
    <w:basedOn w:val="Normal"/>
    <w:uiPriority w:val="99"/>
    <w:unhideWhenUsed/>
    <w:rsid w:val="006124C6"/>
    <w:pPr>
      <w:spacing w:before="100" w:beforeAutospacing="1" w:after="100" w:afterAutospacing="1" w:line="240" w:lineRule="auto"/>
    </w:pPr>
    <w:rPr>
      <w:rFonts w:eastAsia="Times New Roman" w:cs="Times New Roman"/>
      <w:kern w:val="0"/>
      <w:szCs w:val="24"/>
      <w14:ligatures w14:val="none"/>
    </w:rPr>
  </w:style>
  <w:style w:type="character" w:customStyle="1" w:styleId="Heading2Char">
    <w:name w:val="Heading 2 Char"/>
    <w:basedOn w:val="DefaultParagraphFont"/>
    <w:link w:val="Heading2"/>
    <w:uiPriority w:val="9"/>
    <w:rsid w:val="0011028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36A46"/>
    <w:pPr>
      <w:spacing w:after="0" w:line="240" w:lineRule="auto"/>
    </w:pPr>
  </w:style>
  <w:style w:type="paragraph" w:styleId="Title">
    <w:name w:val="Title"/>
    <w:basedOn w:val="Normal"/>
    <w:next w:val="Normal"/>
    <w:link w:val="TitleChar"/>
    <w:uiPriority w:val="10"/>
    <w:qFormat/>
    <w:rsid w:val="00092CF5"/>
    <w:pPr>
      <w:spacing w:after="4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CF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2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413861" TargetMode="External"/><Relationship Id="rId3" Type="http://schemas.openxmlformats.org/officeDocument/2006/relationships/settings" Target="settings.xml"/><Relationship Id="rId7" Type="http://schemas.openxmlformats.org/officeDocument/2006/relationships/hyperlink" Target="https://dx.doi.org/10.2139/ssrn.928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okemwa</dc:creator>
  <cp:keywords/>
  <dc:description/>
  <cp:lastModifiedBy>judith okemwa</cp:lastModifiedBy>
  <cp:revision>2</cp:revision>
  <dcterms:created xsi:type="dcterms:W3CDTF">2024-06-09T12:50:00Z</dcterms:created>
  <dcterms:modified xsi:type="dcterms:W3CDTF">2024-06-09T12:50:00Z</dcterms:modified>
</cp:coreProperties>
</file>