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B4F" w:rsidRPr="00E325A3" w:rsidRDefault="00101B62" w:rsidP="000E3DB1">
      <w:pPr>
        <w:pStyle w:val="Heading1"/>
        <w:rPr>
          <w:rFonts w:asciiTheme="minorHAnsi" w:hAnsiTheme="minorHAnsi" w:cstheme="minorHAnsi"/>
          <w:color w:val="auto"/>
        </w:rPr>
      </w:pPr>
      <w:r w:rsidRPr="00E325A3">
        <w:rPr>
          <w:rFonts w:asciiTheme="minorHAnsi" w:hAnsiTheme="minorHAnsi" w:cstheme="minorHAnsi"/>
          <w:color w:val="auto"/>
        </w:rPr>
        <w:t>PLUC data</w:t>
      </w:r>
    </w:p>
    <w:p w:rsidR="00A53231" w:rsidRPr="00A53231" w:rsidRDefault="00950EAC" w:rsidP="00A53231">
      <w:pPr>
        <w:rPr>
          <w:rFonts w:cstheme="minorHAnsi"/>
        </w:rPr>
      </w:pPr>
      <w:r w:rsidRPr="00E325A3">
        <w:rPr>
          <w:rFonts w:cstheme="minorHAnsi"/>
        </w:rPr>
        <w:t xml:space="preserve">To run the land use model PLUC, data on the land cover, </w:t>
      </w:r>
      <w:r w:rsidR="00A53231">
        <w:rPr>
          <w:rFonts w:cstheme="minorHAnsi"/>
        </w:rPr>
        <w:t>a digital elevation model (</w:t>
      </w:r>
      <w:r w:rsidRPr="00E325A3">
        <w:rPr>
          <w:rFonts w:cstheme="minorHAnsi"/>
        </w:rPr>
        <w:t>DEM</w:t>
      </w:r>
      <w:r w:rsidR="00A53231">
        <w:rPr>
          <w:rFonts w:cstheme="minorHAnsi"/>
        </w:rPr>
        <w:t>)</w:t>
      </w:r>
      <w:r w:rsidRPr="00E325A3">
        <w:rPr>
          <w:rFonts w:cstheme="minorHAnsi"/>
        </w:rPr>
        <w:t xml:space="preserve">, suitability factors and drivers (demand) is required. PLUC input data has been prepared for the countries Ethiopia, Colombia, Poland, Thailand and Spain. </w:t>
      </w:r>
      <w:r w:rsidR="0017245B" w:rsidRPr="00E325A3">
        <w:rPr>
          <w:rFonts w:cstheme="minorHAnsi"/>
        </w:rPr>
        <w:t xml:space="preserve">All of the data </w:t>
      </w:r>
      <w:r w:rsidR="00AD285B">
        <w:rPr>
          <w:rFonts w:cstheme="minorHAnsi"/>
        </w:rPr>
        <w:t>collected</w:t>
      </w:r>
      <w:r w:rsidR="0017245B" w:rsidRPr="00E325A3">
        <w:rPr>
          <w:rFonts w:cstheme="minorHAnsi"/>
        </w:rPr>
        <w:t xml:space="preserve"> is from recent global datasets.</w:t>
      </w:r>
      <w:r w:rsidR="0017245B">
        <w:rPr>
          <w:rFonts w:cstheme="minorHAnsi"/>
        </w:rPr>
        <w:t xml:space="preserve"> </w:t>
      </w:r>
      <w:r w:rsidR="0017245B" w:rsidRPr="00E325A3">
        <w:rPr>
          <w:rFonts w:cstheme="minorHAnsi"/>
        </w:rPr>
        <w:t xml:space="preserve">For each country the data are </w:t>
      </w:r>
      <w:proofErr w:type="spellStart"/>
      <w:r w:rsidR="0017245B" w:rsidRPr="00E325A3">
        <w:rPr>
          <w:rFonts w:cstheme="minorHAnsi"/>
        </w:rPr>
        <w:t>reprojected</w:t>
      </w:r>
      <w:proofErr w:type="spellEnd"/>
      <w:r w:rsidR="0017245B" w:rsidRPr="00E325A3">
        <w:rPr>
          <w:rFonts w:cstheme="minorHAnsi"/>
        </w:rPr>
        <w:t xml:space="preserve"> to a Lambert azimuthal equal area projection, with the center point of the projection in the middle of the country</w:t>
      </w:r>
      <w:r w:rsidR="0017245B">
        <w:rPr>
          <w:rFonts w:cstheme="minorHAnsi"/>
        </w:rPr>
        <w:t xml:space="preserve">. </w:t>
      </w:r>
      <w:r w:rsidR="0017245B" w:rsidRPr="00E325A3">
        <w:rPr>
          <w:rFonts w:cstheme="minorHAnsi"/>
        </w:rPr>
        <w:t>The borders from the countries are from vector data provided by the Global Administrative Areas (GADM)</w:t>
      </w:r>
      <w:r w:rsidR="00110FEB">
        <w:rPr>
          <w:rFonts w:cstheme="minorHAnsi"/>
        </w:rPr>
        <w:t xml:space="preserve"> 2015</w:t>
      </w:r>
      <w:r w:rsidR="0017245B" w:rsidRPr="00E325A3">
        <w:rPr>
          <w:rFonts w:cstheme="minorHAnsi"/>
        </w:rPr>
        <w:t xml:space="preserve"> dataset. These offer different</w:t>
      </w:r>
      <w:r w:rsidR="0017245B">
        <w:rPr>
          <w:rFonts w:cstheme="minorHAnsi"/>
        </w:rPr>
        <w:t xml:space="preserve"> levels of administrative </w:t>
      </w:r>
      <w:proofErr w:type="gramStart"/>
      <w:r w:rsidR="0017245B">
        <w:rPr>
          <w:rFonts w:cstheme="minorHAnsi"/>
        </w:rPr>
        <w:t>are</w:t>
      </w:r>
      <w:bookmarkStart w:id="0" w:name="_GoBack"/>
      <w:bookmarkEnd w:id="0"/>
      <w:r w:rsidR="0017245B">
        <w:rPr>
          <w:rFonts w:cstheme="minorHAnsi"/>
        </w:rPr>
        <w:t>as,</w:t>
      </w:r>
      <w:proofErr w:type="gramEnd"/>
      <w:r w:rsidR="0017245B">
        <w:rPr>
          <w:rFonts w:cstheme="minorHAnsi"/>
        </w:rPr>
        <w:t xml:space="preserve"> of which we use the country level. </w:t>
      </w:r>
      <w:r w:rsidR="00F0659B">
        <w:rPr>
          <w:rFonts w:cstheme="minorHAnsi"/>
        </w:rPr>
        <w:t>For the PLUC runs</w:t>
      </w:r>
      <w:r w:rsidR="0017245B">
        <w:rPr>
          <w:rFonts w:cstheme="minorHAnsi"/>
        </w:rPr>
        <w:t xml:space="preserve">, the maps </w:t>
      </w:r>
      <w:r w:rsidR="0017245B" w:rsidRPr="00E325A3">
        <w:rPr>
          <w:rFonts w:cstheme="minorHAnsi"/>
        </w:rPr>
        <w:t>are resampled to a 1km resolution</w:t>
      </w:r>
      <w:r w:rsidR="00F0659B">
        <w:rPr>
          <w:rFonts w:cstheme="minorHAnsi"/>
        </w:rPr>
        <w:t>, which is detailed but not too computationally expensive</w:t>
      </w:r>
      <w:r w:rsidR="0017245B" w:rsidRPr="00E325A3">
        <w:rPr>
          <w:rFonts w:cstheme="minorHAnsi"/>
        </w:rPr>
        <w:t>.</w:t>
      </w:r>
      <w:r w:rsidR="0017245B">
        <w:rPr>
          <w:rFonts w:cstheme="minorHAnsi"/>
        </w:rPr>
        <w:t xml:space="preserve"> </w:t>
      </w:r>
      <w:r w:rsidR="00A53231">
        <w:rPr>
          <w:rFonts w:cstheme="minorHAnsi"/>
        </w:rPr>
        <w:t>T</w:t>
      </w:r>
      <w:r w:rsidR="00A53231" w:rsidRPr="00A53231">
        <w:rPr>
          <w:rFonts w:cstheme="minorHAnsi"/>
        </w:rPr>
        <w:t xml:space="preserve">he data that has been prepared for you </w:t>
      </w:r>
      <w:r w:rsidR="00A53231">
        <w:rPr>
          <w:rFonts w:cstheme="minorHAnsi"/>
        </w:rPr>
        <w:t xml:space="preserve">to run PLUC </w:t>
      </w:r>
      <w:r w:rsidR="00A53231" w:rsidRPr="00A53231">
        <w:rPr>
          <w:rFonts w:cstheme="minorHAnsi"/>
        </w:rPr>
        <w:t>is the following:</w:t>
      </w:r>
    </w:p>
    <w:p w:rsidR="00A53231" w:rsidRPr="00E325A3" w:rsidRDefault="00A53231" w:rsidP="00A53231">
      <w:pPr>
        <w:rPr>
          <w:rFonts w:cstheme="minorHAnsi"/>
        </w:rPr>
      </w:pPr>
      <w:r>
        <w:rPr>
          <w:rFonts w:cstheme="minorHAnsi"/>
          <w:b/>
        </w:rPr>
        <w:t>L</w:t>
      </w:r>
      <w:r w:rsidRPr="00A53231">
        <w:rPr>
          <w:rFonts w:cstheme="minorHAnsi"/>
          <w:b/>
        </w:rPr>
        <w:t>and cover map:</w:t>
      </w:r>
      <w:r w:rsidRPr="00A53231">
        <w:rPr>
          <w:rFonts w:cstheme="minorHAnsi"/>
        </w:rPr>
        <w:t xml:space="preserve"> Initial land cover map of 2015</w:t>
      </w:r>
      <w:r>
        <w:rPr>
          <w:rFonts w:cstheme="minorHAnsi"/>
        </w:rPr>
        <w:t>.</w:t>
      </w:r>
      <w:r w:rsidRPr="00A53231">
        <w:rPr>
          <w:rFonts w:cstheme="minorHAnsi"/>
        </w:rPr>
        <w:t xml:space="preserve"> </w:t>
      </w:r>
      <w:r w:rsidRPr="00E325A3">
        <w:rPr>
          <w:rFonts w:cstheme="minorHAnsi"/>
        </w:rPr>
        <w:t>The land cover map used is the ESA land cover CCI (ESA Climate Change Initiative), which is a recent dataset with 300m resolution global annual land cover maps from 1992 to 2015. It co</w:t>
      </w:r>
      <w:r w:rsidR="00580D01">
        <w:rPr>
          <w:rFonts w:cstheme="minorHAnsi"/>
        </w:rPr>
        <w:t>nsists of 22 land cover classes.</w:t>
      </w:r>
    </w:p>
    <w:p w:rsidR="00A53231" w:rsidRPr="00A53231" w:rsidRDefault="00A53231" w:rsidP="00A53231">
      <w:pPr>
        <w:rPr>
          <w:rFonts w:cstheme="minorHAnsi"/>
        </w:rPr>
      </w:pPr>
      <w:r>
        <w:rPr>
          <w:rFonts w:cstheme="minorHAnsi"/>
          <w:b/>
        </w:rPr>
        <w:t>C</w:t>
      </w:r>
      <w:r w:rsidRPr="00A53231">
        <w:rPr>
          <w:rFonts w:cstheme="minorHAnsi"/>
          <w:b/>
        </w:rPr>
        <w:t>ities map:</w:t>
      </w:r>
      <w:r>
        <w:rPr>
          <w:rFonts w:cstheme="minorHAnsi"/>
        </w:rPr>
        <w:t xml:space="preserve"> </w:t>
      </w:r>
      <w:r w:rsidRPr="00E325A3">
        <w:rPr>
          <w:rFonts w:cstheme="minorHAnsi"/>
        </w:rPr>
        <w:t>One of the classes</w:t>
      </w:r>
      <w:r>
        <w:rPr>
          <w:rFonts w:cstheme="minorHAnsi"/>
        </w:rPr>
        <w:t xml:space="preserve"> defined in the land cover map is the </w:t>
      </w:r>
      <w:r w:rsidRPr="00E325A3">
        <w:rPr>
          <w:rFonts w:cstheme="minorHAnsi"/>
        </w:rPr>
        <w:t>urban area class</w:t>
      </w:r>
      <w:r>
        <w:rPr>
          <w:rFonts w:cstheme="minorHAnsi"/>
        </w:rPr>
        <w:t>. This class</w:t>
      </w:r>
      <w:r w:rsidRPr="00E325A3">
        <w:rPr>
          <w:rFonts w:cstheme="minorHAnsi"/>
        </w:rPr>
        <w:t xml:space="preserve"> defines the PLUC input city map.</w:t>
      </w:r>
    </w:p>
    <w:p w:rsidR="00A53231" w:rsidRPr="00A53231" w:rsidRDefault="00374B81" w:rsidP="00A53231">
      <w:pPr>
        <w:rPr>
          <w:rFonts w:cstheme="minorHAnsi"/>
        </w:rPr>
      </w:pPr>
      <w:r>
        <w:rPr>
          <w:rFonts w:cstheme="minorHAnsi"/>
          <w:b/>
        </w:rPr>
        <w:t>C</w:t>
      </w:r>
      <w:r w:rsidR="00A53231" w:rsidRPr="00374B81">
        <w:rPr>
          <w:rFonts w:cstheme="minorHAnsi"/>
          <w:b/>
        </w:rPr>
        <w:t>lone map:</w:t>
      </w:r>
      <w:r w:rsidR="00A53231">
        <w:rPr>
          <w:rFonts w:cstheme="minorHAnsi"/>
        </w:rPr>
        <w:t xml:space="preserve"> This is an empty map that is used in </w:t>
      </w:r>
      <w:proofErr w:type="spellStart"/>
      <w:r w:rsidR="00A53231">
        <w:rPr>
          <w:rFonts w:cstheme="minorHAnsi"/>
        </w:rPr>
        <w:t>PCRaster</w:t>
      </w:r>
      <w:proofErr w:type="spellEnd"/>
      <w:r w:rsidR="00A53231">
        <w:rPr>
          <w:rFonts w:cstheme="minorHAnsi"/>
        </w:rPr>
        <w:t xml:space="preserve"> to give the full extent of the map.</w:t>
      </w:r>
    </w:p>
    <w:p w:rsidR="00A53231" w:rsidRPr="00A53231" w:rsidRDefault="001802DE" w:rsidP="00A53231">
      <w:pPr>
        <w:rPr>
          <w:rFonts w:cstheme="minorHAnsi"/>
        </w:rPr>
      </w:pPr>
      <w:proofErr w:type="spellStart"/>
      <w:r>
        <w:rPr>
          <w:rFonts w:cstheme="minorHAnsi"/>
          <w:b/>
        </w:rPr>
        <w:t>Country</w:t>
      </w:r>
      <w:r w:rsidR="00A53231" w:rsidRPr="00374B81">
        <w:rPr>
          <w:rFonts w:cstheme="minorHAnsi"/>
          <w:b/>
        </w:rPr>
        <w:t>.prj</w:t>
      </w:r>
      <w:proofErr w:type="spellEnd"/>
      <w:r w:rsidR="00A53231" w:rsidRPr="00374B81">
        <w:rPr>
          <w:rFonts w:cstheme="minorHAnsi"/>
          <w:b/>
        </w:rPr>
        <w:t>:</w:t>
      </w:r>
      <w:r w:rsidR="00A53231">
        <w:rPr>
          <w:rFonts w:cstheme="minorHAnsi"/>
        </w:rPr>
        <w:t xml:space="preserve"> This is an ESRI projection file, which is</w:t>
      </w:r>
      <w:r w:rsidR="00A53231" w:rsidRPr="00A53231">
        <w:rPr>
          <w:rFonts w:cstheme="minorHAnsi"/>
        </w:rPr>
        <w:t xml:space="preserve"> the industry standard for </w:t>
      </w:r>
      <w:r w:rsidR="00A53231">
        <w:rPr>
          <w:rFonts w:cstheme="minorHAnsi"/>
        </w:rPr>
        <w:t xml:space="preserve">providing </w:t>
      </w:r>
      <w:r w:rsidR="00A53231" w:rsidRPr="00A53231">
        <w:rPr>
          <w:rFonts w:cstheme="minorHAnsi"/>
        </w:rPr>
        <w:t>information</w:t>
      </w:r>
      <w:r w:rsidR="00F0659B">
        <w:rPr>
          <w:rFonts w:cstheme="minorHAnsi"/>
        </w:rPr>
        <w:t xml:space="preserve"> about</w:t>
      </w:r>
      <w:r w:rsidR="00A53231" w:rsidRPr="00A53231">
        <w:rPr>
          <w:rFonts w:cstheme="minorHAnsi"/>
        </w:rPr>
        <w:t xml:space="preserve"> </w:t>
      </w:r>
      <w:r w:rsidR="00A53231">
        <w:rPr>
          <w:rFonts w:cstheme="minorHAnsi"/>
        </w:rPr>
        <w:t>the</w:t>
      </w:r>
      <w:r w:rsidR="00A53231" w:rsidRPr="00A53231">
        <w:rPr>
          <w:rFonts w:cstheme="minorHAnsi"/>
        </w:rPr>
        <w:t xml:space="preserve"> coordinate system</w:t>
      </w:r>
      <w:r w:rsidR="00A53231">
        <w:rPr>
          <w:rFonts w:cstheme="minorHAnsi"/>
        </w:rPr>
        <w:t xml:space="preserve"> of the data</w:t>
      </w:r>
      <w:r w:rsidR="00A53231" w:rsidRPr="00A53231">
        <w:rPr>
          <w:rFonts w:cstheme="minorHAnsi"/>
        </w:rPr>
        <w:t>.</w:t>
      </w:r>
      <w:r w:rsidR="00A53231">
        <w:rPr>
          <w:rFonts w:cstheme="minorHAnsi"/>
        </w:rPr>
        <w:t xml:space="preserve"> </w:t>
      </w:r>
      <w:proofErr w:type="spellStart"/>
      <w:r w:rsidR="00A53231">
        <w:rPr>
          <w:rFonts w:cstheme="minorHAnsi"/>
        </w:rPr>
        <w:t>PCRaster</w:t>
      </w:r>
      <w:proofErr w:type="spellEnd"/>
      <w:r w:rsidR="00A53231">
        <w:rPr>
          <w:rFonts w:cstheme="minorHAnsi"/>
        </w:rPr>
        <w:t xml:space="preserve"> maps do not contain information about the coordinate system.</w:t>
      </w:r>
    </w:p>
    <w:p w:rsidR="00A53231" w:rsidRPr="00E325A3" w:rsidRDefault="00374B81" w:rsidP="00A53231">
      <w:pPr>
        <w:rPr>
          <w:rFonts w:cstheme="minorHAnsi"/>
        </w:rPr>
      </w:pPr>
      <w:r>
        <w:rPr>
          <w:rFonts w:cstheme="minorHAnsi"/>
          <w:b/>
        </w:rPr>
        <w:t>D</w:t>
      </w:r>
      <w:r w:rsidR="00A53231" w:rsidRPr="00374B81">
        <w:rPr>
          <w:rFonts w:cstheme="minorHAnsi"/>
          <w:b/>
        </w:rPr>
        <w:t>em map:</w:t>
      </w:r>
      <w:r w:rsidR="00A53231">
        <w:rPr>
          <w:rFonts w:cstheme="minorHAnsi"/>
        </w:rPr>
        <w:t xml:space="preserve"> This is the </w:t>
      </w:r>
      <w:r>
        <w:rPr>
          <w:rFonts w:cstheme="minorHAnsi"/>
        </w:rPr>
        <w:t>digital elevation model. W</w:t>
      </w:r>
      <w:r w:rsidR="00A53231" w:rsidRPr="00E325A3">
        <w:rPr>
          <w:rFonts w:cstheme="minorHAnsi"/>
        </w:rPr>
        <w:t>e have used ETOPO1, a 1 arc-minute resolution global relief model, giving the DEM in meters</w:t>
      </w:r>
      <w:r w:rsidR="001A100B">
        <w:rPr>
          <w:rFonts w:cstheme="minorHAnsi"/>
        </w:rPr>
        <w:t xml:space="preserve"> </w:t>
      </w:r>
      <w:r w:rsidR="00877863">
        <w:rPr>
          <w:rFonts w:cstheme="minorHAnsi"/>
        </w:rPr>
        <w:t>(</w:t>
      </w:r>
      <w:proofErr w:type="spellStart"/>
      <w:r w:rsidR="00877863" w:rsidRPr="00E325A3">
        <w:rPr>
          <w:rFonts w:cstheme="minorHAnsi"/>
        </w:rPr>
        <w:t>Amante</w:t>
      </w:r>
      <w:proofErr w:type="spellEnd"/>
      <w:r w:rsidR="00877863" w:rsidRPr="00E325A3">
        <w:rPr>
          <w:rFonts w:cstheme="minorHAnsi"/>
        </w:rPr>
        <w:t xml:space="preserve"> and Eakins</w:t>
      </w:r>
      <w:r w:rsidR="00877863">
        <w:rPr>
          <w:rFonts w:cstheme="minorHAnsi"/>
        </w:rPr>
        <w:t>, 2009)</w:t>
      </w:r>
      <w:r w:rsidR="00A53231" w:rsidRPr="00E325A3">
        <w:rPr>
          <w:rFonts w:cstheme="minorHAnsi"/>
        </w:rPr>
        <w:t>.</w:t>
      </w:r>
    </w:p>
    <w:p w:rsidR="00A53231" w:rsidRPr="00A53231" w:rsidRDefault="00374B81" w:rsidP="00A53231">
      <w:pPr>
        <w:rPr>
          <w:rFonts w:cstheme="minorHAnsi"/>
        </w:rPr>
      </w:pPr>
      <w:r w:rsidRPr="00374B81">
        <w:rPr>
          <w:rFonts w:cstheme="minorHAnsi"/>
          <w:b/>
        </w:rPr>
        <w:t>N</w:t>
      </w:r>
      <w:r w:rsidR="00A53231" w:rsidRPr="00374B81">
        <w:rPr>
          <w:rFonts w:cstheme="minorHAnsi"/>
          <w:b/>
        </w:rPr>
        <w:t>ull mask map:</w:t>
      </w:r>
      <w:r>
        <w:rPr>
          <w:rFonts w:cstheme="minorHAnsi"/>
        </w:rPr>
        <w:t xml:space="preserve"> For some raster computations</w:t>
      </w:r>
      <w:r w:rsidR="00F0659B">
        <w:rPr>
          <w:rFonts w:cstheme="minorHAnsi"/>
        </w:rPr>
        <w:t xml:space="preserve"> (e.g. in PLUC)</w:t>
      </w:r>
      <w:r>
        <w:rPr>
          <w:rFonts w:cstheme="minorHAnsi"/>
        </w:rPr>
        <w:t xml:space="preserve"> it is convenient to have a mask map containing all zeros, within the extent of the data. </w:t>
      </w:r>
    </w:p>
    <w:p w:rsidR="00A53231" w:rsidRDefault="00374B81" w:rsidP="00A53231">
      <w:pPr>
        <w:rPr>
          <w:rFonts w:cstheme="minorHAnsi"/>
          <w:iCs/>
        </w:rPr>
      </w:pPr>
      <w:r w:rsidRPr="00374B81">
        <w:rPr>
          <w:rFonts w:cstheme="minorHAnsi"/>
          <w:b/>
        </w:rPr>
        <w:t>P</w:t>
      </w:r>
      <w:r w:rsidR="00A53231" w:rsidRPr="00374B81">
        <w:rPr>
          <w:rFonts w:cstheme="minorHAnsi"/>
          <w:b/>
        </w:rPr>
        <w:t>asture map:</w:t>
      </w:r>
      <w:r>
        <w:rPr>
          <w:rFonts w:cstheme="minorHAnsi"/>
        </w:rPr>
        <w:t xml:space="preserve"> Pasture is not specified in the land cover CCI, so therefore we require</w:t>
      </w:r>
      <w:r w:rsidR="00F0659B">
        <w:rPr>
          <w:rFonts w:cstheme="minorHAnsi"/>
        </w:rPr>
        <w:t>d</w:t>
      </w:r>
      <w:r>
        <w:rPr>
          <w:rFonts w:cstheme="minorHAnsi"/>
        </w:rPr>
        <w:t xml:space="preserve"> additional data. </w:t>
      </w:r>
      <w:r w:rsidRPr="00E325A3">
        <w:rPr>
          <w:rFonts w:cstheme="minorHAnsi"/>
        </w:rPr>
        <w:t>The pasture maps</w:t>
      </w:r>
      <w:r>
        <w:rPr>
          <w:rFonts w:cstheme="minorHAnsi"/>
        </w:rPr>
        <w:t xml:space="preserve"> that define the</w:t>
      </w:r>
      <w:r w:rsidRPr="00E325A3">
        <w:rPr>
          <w:rFonts w:cstheme="minorHAnsi"/>
        </w:rPr>
        <w:t xml:space="preserve"> fraction of pasture in </w:t>
      </w:r>
      <w:r w:rsidRPr="00E325A3">
        <w:rPr>
          <w:rFonts w:cstheme="minorHAnsi"/>
          <w:iCs/>
        </w:rPr>
        <w:t>5 arc-minute cells</w:t>
      </w:r>
      <w:r w:rsidRPr="00E325A3">
        <w:rPr>
          <w:rFonts w:cstheme="minorHAnsi"/>
        </w:rPr>
        <w:t xml:space="preserve"> are from the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r w:rsidRPr="00E325A3">
        <w:rPr>
          <w:rFonts w:cstheme="minorHAnsi"/>
        </w:rPr>
        <w:t>mankutty</w:t>
      </w:r>
      <w:proofErr w:type="spellEnd"/>
      <w:r w:rsidRPr="00E325A3">
        <w:rPr>
          <w:rFonts w:cstheme="minorHAnsi"/>
        </w:rPr>
        <w:t xml:space="preserve"> </w:t>
      </w:r>
      <w:r w:rsidRPr="00726ECD">
        <w:rPr>
          <w:rFonts w:cstheme="minorHAnsi"/>
        </w:rPr>
        <w:t>et al.</w:t>
      </w:r>
      <w:r w:rsidRPr="00E325A3">
        <w:rPr>
          <w:rFonts w:cstheme="minorHAnsi"/>
        </w:rPr>
        <w:t xml:space="preserve"> </w:t>
      </w:r>
      <w:r w:rsidR="004F4A2A">
        <w:rPr>
          <w:rFonts w:cstheme="minorHAnsi"/>
        </w:rPr>
        <w:t>(</w:t>
      </w:r>
      <w:r w:rsidRPr="00E325A3">
        <w:rPr>
          <w:rFonts w:cstheme="minorHAnsi"/>
        </w:rPr>
        <w:t>2008</w:t>
      </w:r>
      <w:r w:rsidR="004F4A2A">
        <w:rPr>
          <w:rFonts w:cstheme="minorHAnsi"/>
        </w:rPr>
        <w:t>)</w:t>
      </w:r>
      <w:r>
        <w:rPr>
          <w:rFonts w:cstheme="minorHAnsi"/>
        </w:rPr>
        <w:t>.</w:t>
      </w:r>
      <w:r w:rsidRPr="00E325A3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During the resampling </w:t>
      </w:r>
      <w:r w:rsidRPr="00E325A3">
        <w:rPr>
          <w:rFonts w:cstheme="minorHAnsi"/>
          <w:iCs/>
        </w:rPr>
        <w:t>to 1 km resolution</w:t>
      </w:r>
      <w:r>
        <w:rPr>
          <w:rFonts w:cstheme="minorHAnsi"/>
          <w:iCs/>
        </w:rPr>
        <w:t xml:space="preserve"> these</w:t>
      </w:r>
      <w:r w:rsidRPr="00E325A3">
        <w:rPr>
          <w:rFonts w:cstheme="minorHAnsi"/>
          <w:iCs/>
        </w:rPr>
        <w:t xml:space="preserve"> maps are</w:t>
      </w:r>
      <w:r w:rsidRPr="000E4BAF">
        <w:t xml:space="preserve"> </w:t>
      </w:r>
      <w:r w:rsidRPr="00E325A3">
        <w:rPr>
          <w:rFonts w:cstheme="minorHAnsi"/>
          <w:iCs/>
        </w:rPr>
        <w:t>interpolated</w:t>
      </w:r>
      <w:r>
        <w:rPr>
          <w:rFonts w:cstheme="minorHAnsi"/>
          <w:iCs/>
        </w:rPr>
        <w:t xml:space="preserve"> </w:t>
      </w:r>
      <w:r w:rsidRPr="000E4BAF">
        <w:rPr>
          <w:rFonts w:cstheme="minorHAnsi"/>
          <w:iCs/>
        </w:rPr>
        <w:t>bilinear</w:t>
      </w:r>
      <w:r w:rsidRPr="00E325A3">
        <w:rPr>
          <w:rFonts w:cstheme="minorHAnsi"/>
          <w:iCs/>
        </w:rPr>
        <w:t>.</w:t>
      </w:r>
    </w:p>
    <w:p w:rsidR="00374B81" w:rsidRPr="00374B81" w:rsidRDefault="00374B81" w:rsidP="00A53231">
      <w:pPr>
        <w:rPr>
          <w:rFonts w:cstheme="minorHAnsi"/>
        </w:rPr>
      </w:pPr>
      <w:r w:rsidRPr="00374B81">
        <w:rPr>
          <w:rFonts w:cstheme="minorHAnsi"/>
          <w:b/>
          <w:iCs/>
        </w:rPr>
        <w:t>Population density map:</w:t>
      </w:r>
      <w:r>
        <w:rPr>
          <w:rFonts w:cstheme="minorHAnsi"/>
          <w:iCs/>
        </w:rPr>
        <w:t xml:space="preserve"> </w:t>
      </w:r>
      <w:r w:rsidRPr="00E325A3">
        <w:rPr>
          <w:rFonts w:cstheme="minorHAnsi"/>
        </w:rPr>
        <w:t xml:space="preserve">Population densities are retrieved from the </w:t>
      </w:r>
      <w:r w:rsidR="004F4A2A" w:rsidRPr="00E570D7">
        <w:rPr>
          <w:rFonts w:cstheme="minorHAnsi"/>
        </w:rPr>
        <w:t>Global Hum</w:t>
      </w:r>
      <w:r w:rsidR="004F4A2A">
        <w:rPr>
          <w:rFonts w:cstheme="minorHAnsi"/>
        </w:rPr>
        <w:t>an Settlement Layer (JRC, 2015)</w:t>
      </w:r>
      <w:r w:rsidRPr="00E325A3">
        <w:rPr>
          <w:rFonts w:cstheme="minorHAnsi"/>
        </w:rPr>
        <w:t xml:space="preserve">, a </w:t>
      </w:r>
      <w:r w:rsidR="00946E61">
        <w:rPr>
          <w:rFonts w:cstheme="minorHAnsi"/>
        </w:rPr>
        <w:t xml:space="preserve">global </w:t>
      </w:r>
      <w:r w:rsidRPr="00E325A3">
        <w:rPr>
          <w:rFonts w:cstheme="minorHAnsi"/>
        </w:rPr>
        <w:t xml:space="preserve">250m resolution map </w:t>
      </w:r>
      <w:r w:rsidR="00580D01">
        <w:rPr>
          <w:rFonts w:cstheme="minorHAnsi"/>
        </w:rPr>
        <w:t xml:space="preserve">by a </w:t>
      </w:r>
      <w:r w:rsidR="00EA07FB" w:rsidRPr="00E325A3">
        <w:rPr>
          <w:rFonts w:cstheme="minorHAnsi"/>
          <w:lang w:val="en"/>
        </w:rPr>
        <w:t>European Commission</w:t>
      </w:r>
      <w:r w:rsidR="00580D01">
        <w:rPr>
          <w:rFonts w:cstheme="minorHAnsi"/>
        </w:rPr>
        <w:t xml:space="preserve"> collaboration </w:t>
      </w:r>
      <w:r w:rsidRPr="00E325A3">
        <w:rPr>
          <w:rFonts w:cstheme="minorHAnsi"/>
        </w:rPr>
        <w:t>that gives the number of people per cell.</w:t>
      </w:r>
    </w:p>
    <w:p w:rsidR="00374B81" w:rsidRDefault="00374B81" w:rsidP="00374B81">
      <w:pPr>
        <w:rPr>
          <w:rFonts w:cstheme="minorHAnsi"/>
        </w:rPr>
      </w:pPr>
      <w:r w:rsidRPr="00374B81">
        <w:rPr>
          <w:rFonts w:cstheme="minorHAnsi"/>
          <w:b/>
        </w:rPr>
        <w:t>P</w:t>
      </w:r>
      <w:r w:rsidR="00A53231" w:rsidRPr="00374B81">
        <w:rPr>
          <w:rFonts w:cstheme="minorHAnsi"/>
          <w:b/>
        </w:rPr>
        <w:t>rotected areas map:</w:t>
      </w:r>
      <w:r>
        <w:rPr>
          <w:rFonts w:cstheme="minorHAnsi"/>
        </w:rPr>
        <w:t xml:space="preserve"> </w:t>
      </w:r>
      <w:r w:rsidRPr="00E325A3">
        <w:rPr>
          <w:rFonts w:cstheme="minorHAnsi"/>
        </w:rPr>
        <w:t xml:space="preserve">Protected areas </w:t>
      </w:r>
      <w:r w:rsidRPr="00E325A3">
        <w:rPr>
          <w:rFonts w:cstheme="minorHAnsi"/>
          <w:iCs/>
        </w:rPr>
        <w:t>in a 5 arc-minute resolution</w:t>
      </w:r>
      <w:r w:rsidRPr="00E325A3">
        <w:rPr>
          <w:rFonts w:cstheme="minorHAnsi"/>
        </w:rPr>
        <w:t xml:space="preserve"> and are from </w:t>
      </w:r>
      <w:r w:rsidRPr="00E325A3">
        <w:rPr>
          <w:rFonts w:cstheme="minorHAnsi"/>
          <w:iCs/>
        </w:rPr>
        <w:t xml:space="preserve">Global Agro-ecological Zones </w:t>
      </w:r>
      <w:r w:rsidR="001A100B" w:rsidRPr="00E325A3">
        <w:rPr>
          <w:rFonts w:cstheme="minorHAnsi"/>
          <w:iCs/>
        </w:rPr>
        <w:t>v3.0</w:t>
      </w:r>
      <w:r w:rsidR="001A100B">
        <w:rPr>
          <w:rFonts w:cstheme="minorHAnsi"/>
          <w:iCs/>
        </w:rPr>
        <w:t>, or GAEZ v3.0</w:t>
      </w:r>
      <w:r w:rsidR="001A100B" w:rsidRPr="00E325A3">
        <w:rPr>
          <w:rFonts w:cstheme="minorHAnsi"/>
          <w:iCs/>
        </w:rPr>
        <w:t xml:space="preserve"> </w:t>
      </w:r>
      <w:r w:rsidR="001A100B">
        <w:rPr>
          <w:rFonts w:cstheme="minorHAnsi"/>
          <w:iCs/>
        </w:rPr>
        <w:t xml:space="preserve">(FAO/IIASA, </w:t>
      </w:r>
      <w:r w:rsidR="001A100B" w:rsidRPr="009B3F5A">
        <w:rPr>
          <w:rFonts w:cstheme="minorHAnsi"/>
          <w:iCs/>
        </w:rPr>
        <w:t>2012</w:t>
      </w:r>
      <w:r w:rsidRPr="00E325A3">
        <w:rPr>
          <w:rFonts w:cstheme="minorHAnsi"/>
          <w:iCs/>
        </w:rPr>
        <w:t xml:space="preserve">), which is a large collection of global agricultural and ecological maps by the </w:t>
      </w:r>
      <w:r w:rsidRPr="00E325A3">
        <w:rPr>
          <w:rFonts w:cstheme="minorHAnsi"/>
        </w:rPr>
        <w:t>Food and Agriculture Organiza</w:t>
      </w:r>
      <w:r w:rsidR="001A100B">
        <w:rPr>
          <w:rFonts w:cstheme="minorHAnsi"/>
        </w:rPr>
        <w:t>tion of the United Nations</w:t>
      </w:r>
      <w:r w:rsidRPr="00E325A3">
        <w:rPr>
          <w:rFonts w:cstheme="minorHAnsi"/>
        </w:rPr>
        <w:t>.</w:t>
      </w:r>
    </w:p>
    <w:p w:rsidR="005B03DB" w:rsidRDefault="005B03DB" w:rsidP="005B03DB">
      <w:pPr>
        <w:rPr>
          <w:rFonts w:cstheme="minorHAnsi"/>
          <w:b/>
        </w:rPr>
      </w:pPr>
      <w:r w:rsidRPr="00946E61">
        <w:rPr>
          <w:rFonts w:cstheme="minorHAnsi"/>
          <w:b/>
        </w:rPr>
        <w:t>Suitability cereals map</w:t>
      </w:r>
      <w:r>
        <w:rPr>
          <w:rFonts w:cstheme="minorHAnsi"/>
          <w:b/>
        </w:rPr>
        <w:t xml:space="preserve"> /</w:t>
      </w:r>
      <w:r w:rsidRPr="005B03DB">
        <w:rPr>
          <w:rFonts w:cstheme="minorHAnsi"/>
          <w:b/>
        </w:rPr>
        <w:t xml:space="preserve"> </w:t>
      </w:r>
      <w:r>
        <w:rPr>
          <w:rFonts w:cstheme="minorHAnsi"/>
          <w:b/>
        </w:rPr>
        <w:t>s</w:t>
      </w:r>
      <w:r w:rsidRPr="00946E61">
        <w:rPr>
          <w:rFonts w:cstheme="minorHAnsi"/>
          <w:b/>
        </w:rPr>
        <w:t>uitability alfalfa map:</w:t>
      </w:r>
      <w:r>
        <w:rPr>
          <w:rFonts w:cstheme="minorHAnsi"/>
          <w:b/>
        </w:rPr>
        <w:t xml:space="preserve"> </w:t>
      </w:r>
      <w:r w:rsidRPr="00E325A3">
        <w:rPr>
          <w:rFonts w:cstheme="minorHAnsi"/>
        </w:rPr>
        <w:t xml:space="preserve">The crop suitability maps </w:t>
      </w:r>
      <w:r>
        <w:rPr>
          <w:rFonts w:cstheme="minorHAnsi"/>
        </w:rPr>
        <w:t xml:space="preserve">are from </w:t>
      </w:r>
      <w:r w:rsidRPr="00E325A3">
        <w:rPr>
          <w:rFonts w:cstheme="minorHAnsi"/>
          <w:iCs/>
        </w:rPr>
        <w:t>GAEZ v3.0</w:t>
      </w:r>
      <w:r w:rsidR="001A100B">
        <w:rPr>
          <w:rFonts w:cstheme="minorHAnsi"/>
          <w:iCs/>
        </w:rPr>
        <w:t xml:space="preserve"> (FAO/IIASA, </w:t>
      </w:r>
      <w:r w:rsidR="001A100B" w:rsidRPr="009B3F5A">
        <w:rPr>
          <w:rFonts w:cstheme="minorHAnsi"/>
          <w:iCs/>
        </w:rPr>
        <w:t>2012</w:t>
      </w:r>
      <w:r w:rsidR="001A100B" w:rsidRPr="00E325A3">
        <w:rPr>
          <w:rFonts w:cstheme="minorHAnsi"/>
          <w:iCs/>
        </w:rPr>
        <w:t>)</w:t>
      </w:r>
      <w:r>
        <w:rPr>
          <w:rFonts w:cstheme="minorHAnsi"/>
          <w:iCs/>
        </w:rPr>
        <w:t>, like the protected areas map</w:t>
      </w:r>
      <w:r w:rsidRPr="00E325A3">
        <w:rPr>
          <w:rFonts w:cstheme="minorHAnsi"/>
        </w:rPr>
        <w:t xml:space="preserve">. </w:t>
      </w:r>
      <w:r>
        <w:rPr>
          <w:rFonts w:cstheme="minorHAnsi"/>
        </w:rPr>
        <w:t xml:space="preserve">The original map was in </w:t>
      </w:r>
      <w:r w:rsidRPr="00E325A3">
        <w:rPr>
          <w:rFonts w:cstheme="minorHAnsi"/>
          <w:iCs/>
        </w:rPr>
        <w:t>in a 5 arc-minute resolution</w:t>
      </w:r>
      <w:r>
        <w:rPr>
          <w:rFonts w:cstheme="minorHAnsi"/>
          <w:iCs/>
        </w:rPr>
        <w:t>, so it</w:t>
      </w:r>
      <w:r>
        <w:rPr>
          <w:rFonts w:cstheme="minorHAnsi"/>
        </w:rPr>
        <w:t xml:space="preserve"> is resampled and interpolated </w:t>
      </w:r>
      <w:r w:rsidRPr="000E4BAF">
        <w:rPr>
          <w:rFonts w:cstheme="minorHAnsi"/>
          <w:iCs/>
        </w:rPr>
        <w:t>bilinear</w:t>
      </w:r>
      <w:r>
        <w:rPr>
          <w:rFonts w:cstheme="minorHAnsi"/>
        </w:rPr>
        <w:t xml:space="preserve">. </w:t>
      </w:r>
      <w:r w:rsidRPr="00E325A3">
        <w:rPr>
          <w:rFonts w:cstheme="minorHAnsi"/>
        </w:rPr>
        <w:t>The numbers represent a suitability index on a scale of 0-10000 indicating unsuitable to maximum suitability. These maps assume rain-fed conditions</w:t>
      </w:r>
      <w:r>
        <w:rPr>
          <w:rFonts w:cstheme="minorHAnsi"/>
        </w:rPr>
        <w:t>.</w:t>
      </w:r>
    </w:p>
    <w:p w:rsidR="005B03DB" w:rsidRPr="00E325A3" w:rsidRDefault="005B03DB" w:rsidP="00374B81">
      <w:pPr>
        <w:rPr>
          <w:rFonts w:cstheme="minorHAnsi"/>
        </w:rPr>
      </w:pPr>
    </w:p>
    <w:p w:rsidR="00374B81" w:rsidRPr="00E325A3" w:rsidRDefault="00374B81" w:rsidP="00374B81">
      <w:pPr>
        <w:rPr>
          <w:rFonts w:cstheme="minorHAnsi"/>
        </w:rPr>
      </w:pPr>
      <w:r w:rsidRPr="00374B81">
        <w:rPr>
          <w:rFonts w:cstheme="minorHAnsi"/>
          <w:b/>
        </w:rPr>
        <w:lastRenderedPageBreak/>
        <w:t>R</w:t>
      </w:r>
      <w:r w:rsidR="00A53231" w:rsidRPr="00374B81">
        <w:rPr>
          <w:rFonts w:cstheme="minorHAnsi"/>
          <w:b/>
        </w:rPr>
        <w:t>oads map:</w:t>
      </w:r>
      <w:r>
        <w:rPr>
          <w:rFonts w:cstheme="minorHAnsi"/>
        </w:rPr>
        <w:t xml:space="preserve"> </w:t>
      </w:r>
      <w:r w:rsidRPr="00E325A3">
        <w:rPr>
          <w:rFonts w:cstheme="minorHAnsi"/>
        </w:rPr>
        <w:t>The road map was derived from the Global Roads Inventory Project (GRIP) dataset</w:t>
      </w:r>
      <w:r w:rsidR="00877863">
        <w:rPr>
          <w:rFonts w:cstheme="minorHAnsi"/>
        </w:rPr>
        <w:t xml:space="preserve"> (</w:t>
      </w:r>
      <w:r w:rsidR="00877863" w:rsidRPr="00E325A3">
        <w:rPr>
          <w:rFonts w:cstheme="minorHAnsi"/>
        </w:rPr>
        <w:t>Meijer</w:t>
      </w:r>
      <w:r w:rsidR="00877863">
        <w:rPr>
          <w:rFonts w:cstheme="minorHAnsi"/>
        </w:rPr>
        <w:t xml:space="preserve"> </w:t>
      </w:r>
      <w:r w:rsidR="00877863" w:rsidRPr="00877863">
        <w:rPr>
          <w:rFonts w:cstheme="minorHAnsi"/>
        </w:rPr>
        <w:t>et al.</w:t>
      </w:r>
      <w:r w:rsidR="00877863">
        <w:rPr>
          <w:rFonts w:cstheme="minorHAnsi"/>
        </w:rPr>
        <w:t>, 2018). This dataset</w:t>
      </w:r>
      <w:r w:rsidRPr="00E325A3">
        <w:rPr>
          <w:rFonts w:cstheme="minorHAnsi"/>
        </w:rPr>
        <w:t xml:space="preserve"> </w:t>
      </w:r>
      <w:r w:rsidR="00877863">
        <w:rPr>
          <w:rFonts w:cstheme="minorHAnsi"/>
        </w:rPr>
        <w:t>contains</w:t>
      </w:r>
      <w:r w:rsidRPr="00E325A3">
        <w:rPr>
          <w:rFonts w:cstheme="minorHAnsi"/>
        </w:rPr>
        <w:t xml:space="preserve"> a vector map of global roads. These roads are rasterized to the 1km resolution and consist of 5 different road classes.</w:t>
      </w:r>
    </w:p>
    <w:p w:rsidR="0064318E" w:rsidRPr="00E325A3" w:rsidRDefault="00E570D7" w:rsidP="00E325A3">
      <w:pPr>
        <w:rPr>
          <w:rFonts w:cstheme="minorHAnsi"/>
        </w:rPr>
      </w:pPr>
      <w:r>
        <w:rPr>
          <w:rFonts w:cstheme="minorHAnsi"/>
        </w:rPr>
        <w:t>References:</w:t>
      </w:r>
    </w:p>
    <w:p w:rsidR="00877863" w:rsidRDefault="0064318E" w:rsidP="00E0779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77863">
        <w:rPr>
          <w:rFonts w:cstheme="minorHAnsi"/>
        </w:rPr>
        <w:t>Amante</w:t>
      </w:r>
      <w:proofErr w:type="spellEnd"/>
      <w:r w:rsidRPr="00877863">
        <w:rPr>
          <w:rFonts w:cstheme="minorHAnsi"/>
        </w:rPr>
        <w:t>, C. and B. W. Eakins</w:t>
      </w:r>
      <w:r w:rsidR="001A100B" w:rsidRPr="00877863">
        <w:rPr>
          <w:rFonts w:cstheme="minorHAnsi"/>
        </w:rPr>
        <w:t xml:space="preserve"> (200</w:t>
      </w:r>
      <w:r w:rsidR="00877863" w:rsidRPr="00877863">
        <w:rPr>
          <w:rFonts w:cstheme="minorHAnsi"/>
        </w:rPr>
        <w:t>9</w:t>
      </w:r>
      <w:r w:rsidR="001A100B" w:rsidRPr="00877863">
        <w:rPr>
          <w:rFonts w:cstheme="minorHAnsi"/>
        </w:rPr>
        <w:t>)</w:t>
      </w:r>
      <w:r w:rsidR="00491783">
        <w:rPr>
          <w:rFonts w:cstheme="minorHAnsi"/>
        </w:rPr>
        <w:t>.</w:t>
      </w:r>
      <w:r w:rsidRPr="00877863">
        <w:rPr>
          <w:rFonts w:cstheme="minorHAnsi"/>
        </w:rPr>
        <w:t xml:space="preserve"> ETOPO1 1 Arc-Minute Global Relief Model: Procedures, Data Sources and Analysis</w:t>
      </w:r>
      <w:r w:rsidR="00877863" w:rsidRPr="00877863">
        <w:rPr>
          <w:rFonts w:cstheme="minorHAnsi"/>
        </w:rPr>
        <w:t>. NOAA Technical Memorandum NESDIS NGDC-24. National                                       Geophysical Data Center, NOAA. doi:10.7289/V5C8276M</w:t>
      </w:r>
    </w:p>
    <w:p w:rsidR="00726ECD" w:rsidRPr="00726ECD" w:rsidRDefault="00726ECD" w:rsidP="006A6A61">
      <w:pPr>
        <w:pStyle w:val="ListParagraph"/>
        <w:numPr>
          <w:ilvl w:val="0"/>
          <w:numId w:val="1"/>
        </w:numPr>
        <w:rPr>
          <w:rFonts w:cstheme="minorHAnsi"/>
        </w:rPr>
      </w:pPr>
      <w:r w:rsidRPr="00726ECD">
        <w:rPr>
          <w:rFonts w:cstheme="minorHAnsi"/>
        </w:rPr>
        <w:t>ESA:   Land   Cover   CCI   Product   User   Guide   Version   2.0, available at: http://maps.elie.ucl.ac.be/CCI/viewer</w:t>
      </w:r>
    </w:p>
    <w:p w:rsidR="00877863" w:rsidRPr="00877863" w:rsidRDefault="00877863" w:rsidP="0087786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iCs/>
        </w:rPr>
        <w:t>FAO/IIASA</w:t>
      </w:r>
      <w:r w:rsidRPr="009B3F5A">
        <w:rPr>
          <w:rFonts w:cstheme="minorHAnsi"/>
          <w:iCs/>
        </w:rPr>
        <w:t xml:space="preserve"> </w:t>
      </w:r>
      <w:r>
        <w:rPr>
          <w:rFonts w:cstheme="minorHAnsi"/>
          <w:iCs/>
        </w:rPr>
        <w:t>(</w:t>
      </w:r>
      <w:r w:rsidRPr="009B3F5A">
        <w:rPr>
          <w:rFonts w:cstheme="minorHAnsi"/>
          <w:iCs/>
        </w:rPr>
        <w:t>2012</w:t>
      </w:r>
      <w:r>
        <w:rPr>
          <w:rFonts w:cstheme="minorHAnsi"/>
          <w:iCs/>
        </w:rPr>
        <w:t>)</w:t>
      </w:r>
      <w:r w:rsidRPr="009B3F5A">
        <w:rPr>
          <w:rFonts w:cstheme="minorHAnsi"/>
          <w:iCs/>
        </w:rPr>
        <w:t xml:space="preserve">. Global Agro-ecological Zones (GAEZ v3.0). FAO Rome, Italy and IIASA, </w:t>
      </w:r>
      <w:proofErr w:type="spellStart"/>
      <w:r w:rsidRPr="009B3F5A">
        <w:rPr>
          <w:rFonts w:cstheme="minorHAnsi"/>
          <w:iCs/>
        </w:rPr>
        <w:t>Laxenburg</w:t>
      </w:r>
      <w:proofErr w:type="spellEnd"/>
      <w:r w:rsidRPr="009B3F5A">
        <w:rPr>
          <w:rFonts w:cstheme="minorHAnsi"/>
          <w:iCs/>
        </w:rPr>
        <w:t>, Austria</w:t>
      </w:r>
    </w:p>
    <w:p w:rsidR="00877863" w:rsidRPr="00877863" w:rsidRDefault="00877863" w:rsidP="00877863">
      <w:pPr>
        <w:pStyle w:val="ListParagraph"/>
        <w:numPr>
          <w:ilvl w:val="0"/>
          <w:numId w:val="1"/>
        </w:numPr>
        <w:rPr>
          <w:rFonts w:cstheme="minorHAnsi"/>
        </w:rPr>
      </w:pPr>
      <w:r w:rsidRPr="00E325A3">
        <w:rPr>
          <w:rFonts w:cstheme="minorHAnsi"/>
        </w:rPr>
        <w:t xml:space="preserve">Global </w:t>
      </w:r>
      <w:proofErr w:type="spellStart"/>
      <w:r w:rsidRPr="00E325A3">
        <w:rPr>
          <w:rFonts w:cstheme="minorHAnsi"/>
        </w:rPr>
        <w:t>ADMinistrative</w:t>
      </w:r>
      <w:proofErr w:type="spellEnd"/>
      <w:r w:rsidRPr="00E325A3">
        <w:rPr>
          <w:rFonts w:cstheme="minorHAnsi"/>
        </w:rPr>
        <w:t xml:space="preserve"> Areas (GADM)</w:t>
      </w:r>
      <w:r w:rsidR="00110FEB">
        <w:rPr>
          <w:rFonts w:cstheme="minorHAnsi"/>
        </w:rPr>
        <w:t xml:space="preserve"> </w:t>
      </w:r>
      <w:r w:rsidR="00110FEB" w:rsidRPr="00E325A3">
        <w:rPr>
          <w:rFonts w:cstheme="minorHAnsi"/>
        </w:rPr>
        <w:t>(2015).</w:t>
      </w:r>
      <w:r w:rsidRPr="00E325A3">
        <w:rPr>
          <w:rFonts w:cstheme="minorHAnsi"/>
        </w:rPr>
        <w:t xml:space="preserve"> </w:t>
      </w:r>
      <w:r w:rsidRPr="00491783">
        <w:rPr>
          <w:rFonts w:cstheme="minorHAnsi"/>
          <w:iCs/>
        </w:rPr>
        <w:t>Global Administrative Areas</w:t>
      </w:r>
      <w:r w:rsidRPr="00E325A3">
        <w:rPr>
          <w:rFonts w:cstheme="minorHAnsi"/>
        </w:rPr>
        <w:t xml:space="preserve"> http://gadm.org/ </w:t>
      </w:r>
    </w:p>
    <w:p w:rsidR="00A3196E" w:rsidRPr="00877863" w:rsidRDefault="002316D9" w:rsidP="00877863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E325A3">
        <w:rPr>
          <w:rFonts w:cstheme="minorHAnsi"/>
          <w:lang w:val="en"/>
        </w:rPr>
        <w:t>Joint Research Centre (JRC); Columbia University, Center for International Earth Science Info</w:t>
      </w:r>
      <w:r w:rsidR="00491783">
        <w:rPr>
          <w:rFonts w:cstheme="minorHAnsi"/>
          <w:lang w:val="en"/>
        </w:rPr>
        <w:t>rmation Network - CIESIN (2015).</w:t>
      </w:r>
      <w:r w:rsidRPr="00E325A3">
        <w:rPr>
          <w:rFonts w:cstheme="minorHAnsi"/>
          <w:lang w:val="en"/>
        </w:rPr>
        <w:t xml:space="preserve"> GHS population grid, derived from GPW4, </w:t>
      </w:r>
      <w:proofErr w:type="spellStart"/>
      <w:r w:rsidRPr="00E325A3">
        <w:rPr>
          <w:rFonts w:cstheme="minorHAnsi"/>
          <w:lang w:val="en"/>
        </w:rPr>
        <w:t>multitemporal</w:t>
      </w:r>
      <w:proofErr w:type="spellEnd"/>
      <w:r w:rsidRPr="00E325A3">
        <w:rPr>
          <w:rFonts w:cstheme="minorHAnsi"/>
          <w:lang w:val="en"/>
        </w:rPr>
        <w:t xml:space="preserve"> (1975, 1990, 2000, 2015). European Commission, Joint Research Centre (JRC) [Dataset] PID:</w:t>
      </w:r>
      <w:r w:rsidRPr="00E325A3">
        <w:rPr>
          <w:rFonts w:cstheme="minorHAnsi"/>
          <w:i/>
          <w:lang w:val="en"/>
        </w:rPr>
        <w:t xml:space="preserve"> </w:t>
      </w:r>
      <w:r w:rsidRPr="00491783">
        <w:rPr>
          <w:rFonts w:cstheme="minorHAnsi"/>
          <w:lang w:val="en"/>
        </w:rPr>
        <w:t>http://data.europa.eu/89h/jrc-ghsl-ghs_pop_gpw4_globe_r2015a</w:t>
      </w:r>
    </w:p>
    <w:p w:rsidR="00E325A3" w:rsidRPr="00E325A3" w:rsidRDefault="00EA72B1" w:rsidP="00E325A3">
      <w:pPr>
        <w:pStyle w:val="ListParagraph"/>
        <w:numPr>
          <w:ilvl w:val="0"/>
          <w:numId w:val="1"/>
        </w:numPr>
        <w:rPr>
          <w:rFonts w:cstheme="minorHAnsi"/>
        </w:rPr>
      </w:pPr>
      <w:r w:rsidRPr="00E325A3">
        <w:rPr>
          <w:rFonts w:cstheme="minorHAnsi"/>
        </w:rPr>
        <w:t xml:space="preserve">Meijer, J.R., </w:t>
      </w:r>
      <w:proofErr w:type="spellStart"/>
      <w:r w:rsidRPr="00E325A3">
        <w:rPr>
          <w:rFonts w:cstheme="minorHAnsi"/>
        </w:rPr>
        <w:t>Huijbregts</w:t>
      </w:r>
      <w:proofErr w:type="spellEnd"/>
      <w:r w:rsidRPr="00E325A3">
        <w:rPr>
          <w:rFonts w:cstheme="minorHAnsi"/>
        </w:rPr>
        <w:t xml:space="preserve">, M.A.J., </w:t>
      </w:r>
      <w:proofErr w:type="spellStart"/>
      <w:r w:rsidRPr="00E325A3">
        <w:rPr>
          <w:rFonts w:cstheme="minorHAnsi"/>
        </w:rPr>
        <w:t>Schotten</w:t>
      </w:r>
      <w:proofErr w:type="spellEnd"/>
      <w:r w:rsidRPr="00E325A3">
        <w:rPr>
          <w:rFonts w:cstheme="minorHAnsi"/>
        </w:rPr>
        <w:t xml:space="preserve">, K.C.G.J., </w:t>
      </w:r>
      <w:proofErr w:type="spellStart"/>
      <w:r w:rsidRPr="00E325A3">
        <w:rPr>
          <w:rFonts w:cstheme="minorHAnsi"/>
        </w:rPr>
        <w:t>Schipper</w:t>
      </w:r>
      <w:proofErr w:type="spellEnd"/>
      <w:r w:rsidRPr="00E325A3">
        <w:rPr>
          <w:rFonts w:cstheme="minorHAnsi"/>
        </w:rPr>
        <w:t>, A.M. (2018)</w:t>
      </w:r>
      <w:r w:rsidR="00491783">
        <w:rPr>
          <w:rFonts w:cstheme="minorHAnsi"/>
        </w:rPr>
        <w:t>.</w:t>
      </w:r>
      <w:r w:rsidR="00E325A3" w:rsidRPr="00E325A3">
        <w:rPr>
          <w:rFonts w:cstheme="minorHAnsi"/>
        </w:rPr>
        <w:t xml:space="preserve"> </w:t>
      </w:r>
      <w:r w:rsidRPr="00E325A3">
        <w:rPr>
          <w:rFonts w:cstheme="minorHAnsi"/>
        </w:rPr>
        <w:t>Global patterns of current and future road infrastructure</w:t>
      </w:r>
      <w:r w:rsidR="004B18A3" w:rsidRPr="00E325A3">
        <w:rPr>
          <w:rFonts w:cstheme="minorHAnsi"/>
        </w:rPr>
        <w:t xml:space="preserve">. </w:t>
      </w:r>
      <w:r w:rsidRPr="00E325A3">
        <w:rPr>
          <w:rFonts w:cstheme="minorHAnsi"/>
        </w:rPr>
        <w:t>Environ. Res. Lett. 13 064006</w:t>
      </w:r>
    </w:p>
    <w:p w:rsidR="00805870" w:rsidRPr="00E325A3" w:rsidRDefault="00805870" w:rsidP="00E325A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E325A3">
        <w:rPr>
          <w:rFonts w:cstheme="minorHAnsi"/>
        </w:rPr>
        <w:t>Ramankutty</w:t>
      </w:r>
      <w:proofErr w:type="spellEnd"/>
      <w:r w:rsidRPr="00E325A3">
        <w:rPr>
          <w:rFonts w:cstheme="minorHAnsi"/>
        </w:rPr>
        <w:t xml:space="preserve">, N., A.T. Evan, C. </w:t>
      </w:r>
      <w:proofErr w:type="spellStart"/>
      <w:r w:rsidR="00491783">
        <w:rPr>
          <w:rFonts w:cstheme="minorHAnsi"/>
        </w:rPr>
        <w:t>Monfreda</w:t>
      </w:r>
      <w:proofErr w:type="spellEnd"/>
      <w:r w:rsidR="00491783">
        <w:rPr>
          <w:rFonts w:cstheme="minorHAnsi"/>
        </w:rPr>
        <w:t>, and J.A. Foley (2008).</w:t>
      </w:r>
      <w:r w:rsidRPr="00E325A3">
        <w:rPr>
          <w:rFonts w:cstheme="minorHAnsi"/>
        </w:rPr>
        <w:t xml:space="preserve"> Farming the planet: 1. Geographic distribution of global agricultural lands in the year 2000. Global Biogeochemical Cycles 22, GB1003, doi:10.1029/2007GB002952.</w:t>
      </w:r>
    </w:p>
    <w:p w:rsidR="004B18A3" w:rsidRDefault="004B18A3" w:rsidP="004B18A3">
      <w:pPr>
        <w:pStyle w:val="ListParagraph"/>
        <w:rPr>
          <w:rFonts w:cstheme="minorHAnsi"/>
        </w:rPr>
      </w:pPr>
    </w:p>
    <w:p w:rsidR="001A100B" w:rsidRDefault="001A100B" w:rsidP="004B18A3">
      <w:pPr>
        <w:pStyle w:val="ListParagraph"/>
        <w:rPr>
          <w:rFonts w:cstheme="minorHAnsi"/>
        </w:rPr>
      </w:pPr>
    </w:p>
    <w:p w:rsidR="001A100B" w:rsidRPr="00E325A3" w:rsidRDefault="001A100B" w:rsidP="004B18A3">
      <w:pPr>
        <w:pStyle w:val="ListParagraph"/>
        <w:rPr>
          <w:rFonts w:cstheme="minorHAnsi"/>
        </w:rPr>
      </w:pPr>
    </w:p>
    <w:p w:rsidR="002F7AC3" w:rsidRPr="00E325A3" w:rsidRDefault="002F7AC3">
      <w:pPr>
        <w:rPr>
          <w:rFonts w:cstheme="minorHAnsi"/>
        </w:rPr>
      </w:pPr>
    </w:p>
    <w:p w:rsidR="00135CEB" w:rsidRPr="00E325A3" w:rsidRDefault="00135CEB">
      <w:pPr>
        <w:rPr>
          <w:rFonts w:cstheme="minorHAnsi"/>
        </w:rPr>
      </w:pPr>
    </w:p>
    <w:p w:rsidR="00135CEB" w:rsidRPr="00E325A3" w:rsidRDefault="00135CEB">
      <w:pPr>
        <w:rPr>
          <w:rFonts w:cstheme="minorHAnsi"/>
        </w:rPr>
      </w:pPr>
    </w:p>
    <w:sectPr w:rsidR="00135CEB" w:rsidRPr="00E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57DE7"/>
    <w:multiLevelType w:val="hybridMultilevel"/>
    <w:tmpl w:val="E6FCDD5A"/>
    <w:lvl w:ilvl="0" w:tplc="6FA6D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EE"/>
    <w:rsid w:val="00061D99"/>
    <w:rsid w:val="000E3DB1"/>
    <w:rsid w:val="000E4BAF"/>
    <w:rsid w:val="00101B62"/>
    <w:rsid w:val="00110FEB"/>
    <w:rsid w:val="00126513"/>
    <w:rsid w:val="00135CEB"/>
    <w:rsid w:val="0017245B"/>
    <w:rsid w:val="001802DE"/>
    <w:rsid w:val="001A100B"/>
    <w:rsid w:val="001F7875"/>
    <w:rsid w:val="00211DC5"/>
    <w:rsid w:val="002316D9"/>
    <w:rsid w:val="00246553"/>
    <w:rsid w:val="00271D0E"/>
    <w:rsid w:val="002F7AC3"/>
    <w:rsid w:val="00313C15"/>
    <w:rsid w:val="00334ACA"/>
    <w:rsid w:val="00336838"/>
    <w:rsid w:val="00357A97"/>
    <w:rsid w:val="00374B81"/>
    <w:rsid w:val="00396530"/>
    <w:rsid w:val="003E73B1"/>
    <w:rsid w:val="00465D93"/>
    <w:rsid w:val="00491783"/>
    <w:rsid w:val="0049313B"/>
    <w:rsid w:val="004B18A3"/>
    <w:rsid w:val="004F4A2A"/>
    <w:rsid w:val="00580D01"/>
    <w:rsid w:val="0059029B"/>
    <w:rsid w:val="005B03DB"/>
    <w:rsid w:val="005B5973"/>
    <w:rsid w:val="005E0FBD"/>
    <w:rsid w:val="005E7091"/>
    <w:rsid w:val="0064318E"/>
    <w:rsid w:val="00673B4F"/>
    <w:rsid w:val="006B5EA3"/>
    <w:rsid w:val="00726ECD"/>
    <w:rsid w:val="007E1F77"/>
    <w:rsid w:val="007E7624"/>
    <w:rsid w:val="00805870"/>
    <w:rsid w:val="008120B3"/>
    <w:rsid w:val="0081335F"/>
    <w:rsid w:val="008163F1"/>
    <w:rsid w:val="00824AB7"/>
    <w:rsid w:val="00872D8F"/>
    <w:rsid w:val="00877863"/>
    <w:rsid w:val="008C3304"/>
    <w:rsid w:val="00946E61"/>
    <w:rsid w:val="00950EAC"/>
    <w:rsid w:val="009B3F5A"/>
    <w:rsid w:val="009B655A"/>
    <w:rsid w:val="009C5EF1"/>
    <w:rsid w:val="00A3196E"/>
    <w:rsid w:val="00A53231"/>
    <w:rsid w:val="00AD285B"/>
    <w:rsid w:val="00AD2ED9"/>
    <w:rsid w:val="00B8589C"/>
    <w:rsid w:val="00DB4502"/>
    <w:rsid w:val="00DC3FEE"/>
    <w:rsid w:val="00DF3D56"/>
    <w:rsid w:val="00E325A3"/>
    <w:rsid w:val="00E570D7"/>
    <w:rsid w:val="00EA07FB"/>
    <w:rsid w:val="00EA72B1"/>
    <w:rsid w:val="00EC4A16"/>
    <w:rsid w:val="00EF0E8E"/>
    <w:rsid w:val="00F0659B"/>
    <w:rsid w:val="00FD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27A7-BC5B-47E7-94F9-42D26671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5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6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</TotalTime>
  <Pages>2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Kraak, Y.V. (Yoeri)</dc:creator>
  <cp:keywords/>
  <dc:description/>
  <cp:lastModifiedBy>Kraak, Y.V. (Yoeri)</cp:lastModifiedBy>
  <cp:revision>35</cp:revision>
  <dcterms:created xsi:type="dcterms:W3CDTF">2018-08-21T12:26:00Z</dcterms:created>
  <dcterms:modified xsi:type="dcterms:W3CDTF">2018-11-12T09:28:00Z</dcterms:modified>
</cp:coreProperties>
</file>