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D73D06"/>
    <w:p w:rsidR="00F147C9" w:rsidRPr="00F147C9" w:rsidRDefault="00F147C9" w:rsidP="00F147C9">
      <w:pPr>
        <w:jc w:val="center"/>
        <w:rPr>
          <w:b/>
          <w:color w:val="5B9BD5" w:themeColor="accent5"/>
          <w:sz w:val="44"/>
        </w:rPr>
      </w:pPr>
      <w:r w:rsidRPr="00F147C9">
        <w:rPr>
          <w:b/>
          <w:color w:val="5B9BD5" w:themeColor="accent5"/>
          <w:sz w:val="44"/>
        </w:rPr>
        <w:t>Inhaltsverzeichnis</w:t>
      </w:r>
    </w:p>
    <w:p w:rsidR="00F147C9" w:rsidRDefault="00F147C9"/>
    <w:p w:rsidR="005B7952" w:rsidRDefault="005B7952" w:rsidP="005B7952">
      <w:pPr>
        <w:pStyle w:val="Listenabsatz"/>
        <w:numPr>
          <w:ilvl w:val="0"/>
          <w:numId w:val="1"/>
        </w:numPr>
      </w:pPr>
      <w:r>
        <w:t>Norwegen</w:t>
      </w:r>
    </w:p>
    <w:p w:rsidR="00F147C9" w:rsidRDefault="00FA03FE" w:rsidP="00F147C9">
      <w:pPr>
        <w:pStyle w:val="Listenabsatz"/>
        <w:numPr>
          <w:ilvl w:val="1"/>
          <w:numId w:val="1"/>
        </w:numPr>
      </w:pPr>
      <w:r>
        <w:t>Aufgaben der Soziale Marktwirtschaft</w:t>
      </w:r>
    </w:p>
    <w:p w:rsidR="00FA03FE" w:rsidRDefault="00FA03FE" w:rsidP="00F147C9">
      <w:pPr>
        <w:pStyle w:val="Listenabsatz"/>
        <w:numPr>
          <w:ilvl w:val="1"/>
          <w:numId w:val="1"/>
        </w:numPr>
      </w:pPr>
      <w:r>
        <w:t>Beschäftigungsquote und Anteil der Langzeitarbeitslosen</w:t>
      </w:r>
    </w:p>
    <w:p w:rsidR="00FA03FE" w:rsidRDefault="00FA03FE" w:rsidP="00F147C9">
      <w:pPr>
        <w:pStyle w:val="Listenabsatz"/>
        <w:numPr>
          <w:ilvl w:val="1"/>
          <w:numId w:val="1"/>
        </w:numPr>
      </w:pPr>
      <w:r>
        <w:t>Konzept des Wohlfahrtsstaates</w:t>
      </w:r>
    </w:p>
    <w:p w:rsidR="008D31EE" w:rsidRDefault="008D31EE" w:rsidP="00F147C9">
      <w:pPr>
        <w:pStyle w:val="Listenabsatz"/>
        <w:numPr>
          <w:ilvl w:val="1"/>
          <w:numId w:val="1"/>
        </w:numPr>
      </w:pPr>
      <w:r>
        <w:t>Staatsquoten ausgewählter OECD-Staaten</w:t>
      </w:r>
    </w:p>
    <w:p w:rsidR="008D31EE" w:rsidRDefault="008D31EE" w:rsidP="00F147C9">
      <w:pPr>
        <w:pStyle w:val="Listenabsatz"/>
        <w:numPr>
          <w:ilvl w:val="1"/>
          <w:numId w:val="1"/>
        </w:numPr>
      </w:pPr>
      <w:r>
        <w:t>Grundlagen des skandinavischen Wohlfahrtsstaates</w:t>
      </w:r>
    </w:p>
    <w:p w:rsidR="008D31EE" w:rsidRDefault="008D31EE" w:rsidP="00F147C9">
      <w:pPr>
        <w:pStyle w:val="Listenabsatz"/>
        <w:numPr>
          <w:ilvl w:val="1"/>
          <w:numId w:val="1"/>
        </w:numPr>
      </w:pPr>
      <w:r>
        <w:t>Grundzüge des Wohlfahrtsstaates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Familienpolitik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Gesundheitswesen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Bildungssystem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Sozialversicherung</w:t>
      </w:r>
    </w:p>
    <w:p w:rsidR="008D31EE" w:rsidRDefault="008D31EE" w:rsidP="008D31EE">
      <w:pPr>
        <w:pStyle w:val="Listenabsatz"/>
        <w:numPr>
          <w:ilvl w:val="1"/>
          <w:numId w:val="1"/>
        </w:numPr>
      </w:pPr>
      <w:r>
        <w:t>Bildungs- und Sozialausgaben</w:t>
      </w:r>
    </w:p>
    <w:p w:rsidR="008D31EE" w:rsidRDefault="008D31EE" w:rsidP="008D31EE">
      <w:pPr>
        <w:pStyle w:val="Listenabsatz"/>
        <w:numPr>
          <w:ilvl w:val="1"/>
          <w:numId w:val="1"/>
        </w:numPr>
      </w:pPr>
      <w:r>
        <w:t>Erdöl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Statoil</w:t>
      </w:r>
    </w:p>
    <w:p w:rsidR="008D31EE" w:rsidRDefault="008D31EE" w:rsidP="008D31EE">
      <w:pPr>
        <w:pStyle w:val="Listenabsatz"/>
        <w:numPr>
          <w:ilvl w:val="1"/>
          <w:numId w:val="1"/>
        </w:numPr>
      </w:pPr>
      <w:r>
        <w:t>Staatsfonds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Government Pension Fund Global</w:t>
      </w:r>
    </w:p>
    <w:p w:rsidR="008D31EE" w:rsidRDefault="008D31EE" w:rsidP="008D31EE">
      <w:pPr>
        <w:pStyle w:val="Listenabsatz"/>
        <w:numPr>
          <w:ilvl w:val="1"/>
          <w:numId w:val="1"/>
        </w:numPr>
      </w:pPr>
      <w:r>
        <w:t>GINI-Koeffizient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Erklärung</w:t>
      </w:r>
    </w:p>
    <w:p w:rsidR="008D31EE" w:rsidRDefault="008D31EE" w:rsidP="008D31EE">
      <w:pPr>
        <w:pStyle w:val="Listenabsatz"/>
        <w:numPr>
          <w:ilvl w:val="2"/>
          <w:numId w:val="1"/>
        </w:numPr>
      </w:pPr>
      <w:r>
        <w:t>Weltweite Einkommensverteilung</w:t>
      </w:r>
    </w:p>
    <w:p w:rsidR="00F147C9" w:rsidRDefault="005B7952" w:rsidP="00F147C9">
      <w:pPr>
        <w:pStyle w:val="Listenabsatz"/>
        <w:numPr>
          <w:ilvl w:val="0"/>
          <w:numId w:val="1"/>
        </w:numPr>
      </w:pPr>
      <w:r>
        <w:t>Österreich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Soziales Netz</w:t>
      </w:r>
    </w:p>
    <w:p w:rsidR="006103A4" w:rsidRDefault="006103A4" w:rsidP="006103A4">
      <w:pPr>
        <w:pStyle w:val="Listenabsatz"/>
        <w:numPr>
          <w:ilvl w:val="2"/>
          <w:numId w:val="1"/>
        </w:numPr>
      </w:pPr>
      <w:r>
        <w:t>Allgemein</w:t>
      </w:r>
    </w:p>
    <w:p w:rsidR="006103A4" w:rsidRDefault="006103A4" w:rsidP="006103A4">
      <w:pPr>
        <w:pStyle w:val="Listenabsatz"/>
        <w:numPr>
          <w:ilvl w:val="2"/>
          <w:numId w:val="1"/>
        </w:numPr>
      </w:pPr>
      <w:r>
        <w:t>Ziele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Transferzahlungen der öffentlichen Hand</w:t>
      </w:r>
    </w:p>
    <w:p w:rsidR="006103A4" w:rsidRDefault="006103A4" w:rsidP="006103A4">
      <w:pPr>
        <w:pStyle w:val="Listenabsatz"/>
        <w:numPr>
          <w:ilvl w:val="2"/>
          <w:numId w:val="1"/>
        </w:numPr>
      </w:pPr>
      <w:r>
        <w:t>Erklärung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Sozialpolitische Maßnahmen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Sozialausgaben im Verhältnis zum BIP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Wachstum der Sozialleistungen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Sozialversicherung</w:t>
      </w:r>
    </w:p>
    <w:p w:rsidR="006103A4" w:rsidRDefault="006103A4" w:rsidP="006103A4">
      <w:pPr>
        <w:pStyle w:val="Listenabsatz"/>
        <w:numPr>
          <w:ilvl w:val="2"/>
          <w:numId w:val="1"/>
        </w:numPr>
      </w:pPr>
      <w:r>
        <w:t>Allgemeines</w:t>
      </w:r>
    </w:p>
    <w:p w:rsidR="006103A4" w:rsidRDefault="006103A4" w:rsidP="006103A4">
      <w:pPr>
        <w:pStyle w:val="Listenabsatz"/>
        <w:numPr>
          <w:ilvl w:val="2"/>
          <w:numId w:val="1"/>
        </w:numPr>
      </w:pPr>
      <w:r>
        <w:t>Finanzierung</w:t>
      </w:r>
    </w:p>
    <w:p w:rsidR="006103A4" w:rsidRDefault="006103A4" w:rsidP="006103A4">
      <w:pPr>
        <w:pStyle w:val="Listenabsatz"/>
        <w:numPr>
          <w:ilvl w:val="2"/>
          <w:numId w:val="1"/>
        </w:numPr>
      </w:pPr>
      <w:r>
        <w:t>Prinzipien der Sozialversicherung</w:t>
      </w:r>
    </w:p>
    <w:p w:rsidR="006103A4" w:rsidRDefault="006103A4" w:rsidP="006103A4">
      <w:pPr>
        <w:pStyle w:val="Listenabsatz"/>
        <w:numPr>
          <w:ilvl w:val="1"/>
          <w:numId w:val="1"/>
        </w:numPr>
      </w:pPr>
      <w:r>
        <w:t>Sozialpartnerschaft</w:t>
      </w:r>
    </w:p>
    <w:p w:rsidR="006103A4" w:rsidRDefault="00032719" w:rsidP="00032719">
      <w:pPr>
        <w:pStyle w:val="Listenabsatz"/>
        <w:numPr>
          <w:ilvl w:val="1"/>
          <w:numId w:val="1"/>
        </w:numPr>
      </w:pPr>
      <w:r>
        <w:t>Interessenvertretung und Gesetzwerdung</w:t>
      </w:r>
    </w:p>
    <w:p w:rsidR="003C308D" w:rsidRDefault="003C308D" w:rsidP="007F4600">
      <w:pPr>
        <w:pStyle w:val="Listenabsatz"/>
        <w:numPr>
          <w:ilvl w:val="1"/>
          <w:numId w:val="1"/>
        </w:numPr>
      </w:pPr>
      <w:r>
        <w:t>Einstimmigkeitsprinzip</w:t>
      </w:r>
      <w:bookmarkStart w:id="0" w:name="_GoBack"/>
      <w:bookmarkEnd w:id="0"/>
    </w:p>
    <w:sectPr w:rsidR="003C308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D06" w:rsidRDefault="00D73D06" w:rsidP="00F147C9">
      <w:pPr>
        <w:spacing w:after="0" w:line="240" w:lineRule="auto"/>
      </w:pPr>
      <w:r>
        <w:separator/>
      </w:r>
    </w:p>
  </w:endnote>
  <w:endnote w:type="continuationSeparator" w:id="0">
    <w:p w:rsidR="00D73D06" w:rsidRDefault="00D73D06" w:rsidP="00F1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D06" w:rsidRDefault="00D73D06" w:rsidP="00F147C9">
      <w:pPr>
        <w:spacing w:after="0" w:line="240" w:lineRule="auto"/>
      </w:pPr>
      <w:r>
        <w:separator/>
      </w:r>
    </w:p>
  </w:footnote>
  <w:footnote w:type="continuationSeparator" w:id="0">
    <w:p w:rsidR="00D73D06" w:rsidRDefault="00D73D06" w:rsidP="00F1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C9" w:rsidRDefault="00F147C9">
    <w:pPr>
      <w:pStyle w:val="Kopfzeile"/>
    </w:pPr>
    <w:r>
      <w:t>Österreich-Norwegen</w:t>
    </w:r>
    <w:r>
      <w:ptab w:relativeTo="margin" w:alignment="center" w:leader="none"/>
    </w:r>
    <w:r>
      <w:t>GGP-GP</w:t>
    </w:r>
    <w:r>
      <w:ptab w:relativeTo="margin" w:alignment="right" w:leader="none"/>
    </w:r>
    <w:r>
      <w:t>Judth Marcel</w:t>
    </w:r>
  </w:p>
  <w:p w:rsidR="00F147C9" w:rsidRDefault="00F147C9">
    <w:pPr>
      <w:pStyle w:val="Kopfzeile"/>
    </w:pPr>
    <w:r>
      <w:t>Referat</w:t>
    </w:r>
    <w:r>
      <w:tab/>
    </w:r>
    <w:r>
      <w:tab/>
      <w:t>3.AHIFS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0798"/>
    <w:multiLevelType w:val="hybridMultilevel"/>
    <w:tmpl w:val="18A4B430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23D2B"/>
    <w:multiLevelType w:val="hybridMultilevel"/>
    <w:tmpl w:val="E39C61B4"/>
    <w:lvl w:ilvl="0" w:tplc="8192355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C9"/>
    <w:rsid w:val="00032719"/>
    <w:rsid w:val="001E2A4B"/>
    <w:rsid w:val="002C70B6"/>
    <w:rsid w:val="003C308D"/>
    <w:rsid w:val="003F0F3C"/>
    <w:rsid w:val="004F6FF0"/>
    <w:rsid w:val="005B7952"/>
    <w:rsid w:val="006103A4"/>
    <w:rsid w:val="007F4600"/>
    <w:rsid w:val="008D31EE"/>
    <w:rsid w:val="00A0379C"/>
    <w:rsid w:val="00CD4142"/>
    <w:rsid w:val="00D73D06"/>
    <w:rsid w:val="00F147C9"/>
    <w:rsid w:val="00FA03F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9704"/>
  <w15:chartTrackingRefBased/>
  <w15:docId w15:val="{9C8D1640-DEAF-4703-B988-CC008F3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4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47C9"/>
  </w:style>
  <w:style w:type="paragraph" w:styleId="Fuzeile">
    <w:name w:val="footer"/>
    <w:basedOn w:val="Standard"/>
    <w:link w:val="FuzeileZchn"/>
    <w:uiPriority w:val="99"/>
    <w:unhideWhenUsed/>
    <w:rsid w:val="00F14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47C9"/>
  </w:style>
  <w:style w:type="paragraph" w:styleId="Listenabsatz">
    <w:name w:val="List Paragraph"/>
    <w:basedOn w:val="Standard"/>
    <w:uiPriority w:val="34"/>
    <w:qFormat/>
    <w:rsid w:val="00F1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</cp:revision>
  <dcterms:created xsi:type="dcterms:W3CDTF">2017-04-17T11:38:00Z</dcterms:created>
  <dcterms:modified xsi:type="dcterms:W3CDTF">2017-04-18T08:33:00Z</dcterms:modified>
</cp:coreProperties>
</file>