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393" w:rsidRPr="00824393" w:rsidRDefault="00824393" w:rsidP="00824393">
      <w:pPr>
        <w:pStyle w:val="berschrift1"/>
        <w:jc w:val="center"/>
        <w:rPr>
          <w:b/>
          <w:sz w:val="44"/>
        </w:rPr>
      </w:pPr>
      <w:r w:rsidRPr="00824393">
        <w:rPr>
          <w:b/>
          <w:sz w:val="44"/>
        </w:rPr>
        <w:t>GGP-Referat</w:t>
      </w:r>
      <w:r>
        <w:rPr>
          <w:b/>
          <w:sz w:val="44"/>
        </w:rPr>
        <w:t>-Binnenmarkt</w:t>
      </w:r>
    </w:p>
    <w:p w:rsidR="00824393" w:rsidRDefault="00824393" w:rsidP="00824393">
      <w:pPr>
        <w:pStyle w:val="berschrift1"/>
      </w:pPr>
    </w:p>
    <w:p w:rsidR="00824393" w:rsidRDefault="00824393" w:rsidP="00824393">
      <w:pPr>
        <w:pStyle w:val="berschrift1"/>
      </w:pPr>
      <w:r>
        <w:t>Allgemein</w:t>
      </w:r>
    </w:p>
    <w:p w:rsidR="009E76C8" w:rsidRDefault="00824393" w:rsidP="00824393">
      <w:r w:rsidRPr="00824393">
        <w:t xml:space="preserve">Bezeichnung für einen internen Markt mit freiem Waren- und Dienstleistungsverkehr, mit freiem </w:t>
      </w:r>
      <w:hyperlink r:id="rId5" w:tooltip="Kapitalverkehr" w:history="1">
        <w:r w:rsidRPr="00824393">
          <w:t>Kapitalverkehr</w:t>
        </w:r>
      </w:hyperlink>
      <w:r w:rsidRPr="00824393">
        <w:t xml:space="preserve"> sowie </w:t>
      </w:r>
      <w:hyperlink r:id="rId6" w:tooltip="Freizügigkeit" w:history="1">
        <w:r w:rsidRPr="00824393">
          <w:t>Freizügigkeit</w:t>
        </w:r>
      </w:hyperlink>
      <w:r w:rsidRPr="00824393">
        <w:t xml:space="preserve"> der Arbeitnehmer und </w:t>
      </w:r>
      <w:hyperlink r:id="rId7" w:tooltip="Niederlassungsfreiheit" w:history="1">
        <w:r w:rsidRPr="00824393">
          <w:t>Niederlassungsfreiheit</w:t>
        </w:r>
      </w:hyperlink>
      <w:r w:rsidRPr="00824393">
        <w:t xml:space="preserve"> der Selbstständigen</w:t>
      </w:r>
      <w:r w:rsidR="006C1120">
        <w:t>.</w:t>
      </w:r>
    </w:p>
    <w:p w:rsidR="0075263D" w:rsidRDefault="0075263D" w:rsidP="00824393"/>
    <w:p w:rsidR="00824393" w:rsidRDefault="0075263D" w:rsidP="00824393">
      <w:r>
        <w:t xml:space="preserve">Ist im Jahr 1993 in der EU eingeführt worden und ist ein bedeutender Schritt in der Wirtschaftspolitik gewesen. </w:t>
      </w:r>
      <w:r w:rsidR="00C50710">
        <w:t>Für die Regeln für diesen gemeinsamen Markt</w:t>
      </w:r>
      <w:r w:rsidR="00D05AF7">
        <w:t>, die über 80.000 Seiten lang sind,</w:t>
      </w:r>
      <w:r w:rsidR="00C50710">
        <w:t xml:space="preserve"> ist die Kommission</w:t>
      </w:r>
      <w:r w:rsidR="009323CC">
        <w:t xml:space="preserve"> (exekutive, wie Regierung in einem Staat)</w:t>
      </w:r>
      <w:r w:rsidR="00C50710">
        <w:t xml:space="preserve"> zuständig.</w:t>
      </w:r>
      <w:r w:rsidR="0065056A">
        <w:t xml:space="preserve"> </w:t>
      </w:r>
    </w:p>
    <w:p w:rsidR="00EB4F5E" w:rsidRDefault="00EB4F5E" w:rsidP="00824393"/>
    <w:p w:rsidR="00EB4F5E" w:rsidRPr="00522F09" w:rsidRDefault="00EB4F5E" w:rsidP="00522F09">
      <w:pPr>
        <w:pStyle w:val="berschrift2"/>
      </w:pPr>
      <w:r w:rsidRPr="00522F09">
        <w:t xml:space="preserve">Vier </w:t>
      </w:r>
      <w:r w:rsidR="00995FF9" w:rsidRPr="00522F09">
        <w:t>Freiheiten:</w:t>
      </w:r>
    </w:p>
    <w:p w:rsidR="00995FF9" w:rsidRDefault="00995FF9" w:rsidP="00824393">
      <w:r w:rsidRPr="00522F09">
        <w:rPr>
          <w:b/>
        </w:rPr>
        <w:t>Freiheit</w:t>
      </w:r>
      <w:r>
        <w:t>…</w:t>
      </w:r>
    </w:p>
    <w:p w:rsidR="00995FF9" w:rsidRDefault="00995FF9" w:rsidP="00824393">
      <w:r>
        <w:t>…der Dienstleistungen (Niederlassungsfreiheit)</w:t>
      </w:r>
    </w:p>
    <w:p w:rsidR="00995FF9" w:rsidRDefault="00995FF9" w:rsidP="00824393">
      <w:r>
        <w:t>…Freizügigkeit der Arbeitskräfte (Arbeiten wo man will)</w:t>
      </w:r>
    </w:p>
    <w:p w:rsidR="00995FF9" w:rsidRDefault="00995FF9" w:rsidP="00824393">
      <w:r>
        <w:t>…der Waren (Ungehinderter Import und Export)</w:t>
      </w:r>
    </w:p>
    <w:p w:rsidR="00995FF9" w:rsidRDefault="00995FF9" w:rsidP="00824393">
      <w:r>
        <w:t>…des Kapitals (Investieren und Geld anlegen, wo man will)</w:t>
      </w:r>
    </w:p>
    <w:p w:rsidR="007A1A93" w:rsidRDefault="007A1A93" w:rsidP="00824393"/>
    <w:p w:rsidR="001C0E83" w:rsidRDefault="001C0E83" w:rsidP="001C0E83">
      <w:pPr>
        <w:pStyle w:val="berschrift1"/>
      </w:pPr>
      <w:r>
        <w:t>Währungsunion</w:t>
      </w:r>
    </w:p>
    <w:p w:rsidR="008B657F" w:rsidRDefault="009A1D3F" w:rsidP="001C0E83">
      <w:r>
        <w:t>Wenn man vor des Jahr 1999 zurückschaut dann hat es weichere und härtere Währungen gegeben.</w:t>
      </w:r>
      <w:r w:rsidR="00B60549">
        <w:t xml:space="preserve"> </w:t>
      </w:r>
      <w:r w:rsidR="008B657F">
        <w:t>Weiche Währung ist eine Währung die sich im Gegensatz zu den führenden Währung</w:t>
      </w:r>
      <w:r w:rsidR="00AB15BC">
        <w:t>en</w:t>
      </w:r>
      <w:r w:rsidR="008B657F">
        <w:t xml:space="preserve"> in ihren Wechselkurs immer mehr verschlechtert.</w:t>
      </w:r>
      <w:r w:rsidR="00035B17">
        <w:t xml:space="preserve"> </w:t>
      </w:r>
      <w:r w:rsidR="00AB15BC">
        <w:t>Für die Einführung einer gleichen Währung</w:t>
      </w:r>
      <w:r w:rsidR="00D92798">
        <w:t xml:space="preserve"> </w:t>
      </w:r>
      <w:r w:rsidR="00820268">
        <w:t xml:space="preserve">muss man die nationale Währung einander anpassen und Konvergenzkriterien festlegen. </w:t>
      </w:r>
      <w:r w:rsidR="00E703F8">
        <w:t>Was sind Konvergenzkriterien?</w:t>
      </w:r>
    </w:p>
    <w:p w:rsidR="00D91B1B" w:rsidRDefault="00D91B1B" w:rsidP="001C0E83"/>
    <w:p w:rsidR="00D91B1B" w:rsidRDefault="001C09B6" w:rsidP="001C0E83">
      <w:pPr>
        <w:rPr>
          <w:b/>
        </w:rPr>
      </w:pPr>
      <w:r>
        <w:rPr>
          <w:b/>
        </w:rPr>
        <w:t>Konvergenzkriterien (</w:t>
      </w:r>
      <w:proofErr w:type="spellStart"/>
      <w:r>
        <w:rPr>
          <w:b/>
        </w:rPr>
        <w:t>Maastrichkriterien</w:t>
      </w:r>
      <w:proofErr w:type="spellEnd"/>
      <w:r>
        <w:rPr>
          <w:b/>
        </w:rPr>
        <w:t>)</w:t>
      </w:r>
    </w:p>
    <w:p w:rsidR="00A8711C" w:rsidRDefault="00A8711C" w:rsidP="001C0E83">
      <w:r>
        <w:t>Sie sollen eine wi</w:t>
      </w:r>
      <w:r w:rsidR="000A466D">
        <w:t xml:space="preserve">rtschaftliche Stabilität sorgen und sind </w:t>
      </w:r>
      <w:proofErr w:type="spellStart"/>
      <w:r w:rsidR="000A466D">
        <w:t>z.B</w:t>
      </w:r>
      <w:proofErr w:type="spellEnd"/>
      <w:r w:rsidR="000A466D">
        <w:t>:</w:t>
      </w:r>
    </w:p>
    <w:p w:rsidR="000A466D" w:rsidRDefault="000A466D" w:rsidP="000A466D">
      <w:pPr>
        <w:pStyle w:val="Listenabsatz"/>
        <w:numPr>
          <w:ilvl w:val="0"/>
          <w:numId w:val="1"/>
        </w:numPr>
      </w:pPr>
      <w:r>
        <w:t>Niedrige Inflation (sie darf nur 1,5% über denjenigen der drei Preisstabilsten Mitgliedstaaten liegen)</w:t>
      </w:r>
    </w:p>
    <w:p w:rsidR="000A466D" w:rsidRDefault="000A466D" w:rsidP="000A466D">
      <w:pPr>
        <w:pStyle w:val="Listenabsatz"/>
        <w:numPr>
          <w:ilvl w:val="0"/>
          <w:numId w:val="1"/>
        </w:numPr>
      </w:pPr>
      <w:r>
        <w:t>Begrenzte Staatsverschuldung (max. 60% des BIP)</w:t>
      </w:r>
    </w:p>
    <w:p w:rsidR="000A466D" w:rsidRDefault="00C057BF" w:rsidP="000A466D">
      <w:pPr>
        <w:pStyle w:val="Listenabsatz"/>
        <w:numPr>
          <w:ilvl w:val="0"/>
          <w:numId w:val="1"/>
        </w:numPr>
      </w:pPr>
      <w:r>
        <w:t>Jährlicher Budgetdefizit max. 3% des BIP (Budgetdefizit ist der Betrag um den die Ausgaben die Einnahmen eines Staatshaushaltes übersteigen.</w:t>
      </w:r>
    </w:p>
    <w:p w:rsidR="009632D7" w:rsidRDefault="009632D7" w:rsidP="000A466D">
      <w:pPr>
        <w:pStyle w:val="Listenabsatz"/>
        <w:numPr>
          <w:ilvl w:val="0"/>
          <w:numId w:val="1"/>
        </w:numPr>
      </w:pPr>
      <w:r>
        <w:t>Geringe Schwankungen des Wechselkurses gegenüber des Euros</w:t>
      </w:r>
    </w:p>
    <w:p w:rsidR="0034658B" w:rsidRDefault="0034658B" w:rsidP="0034658B">
      <w:r>
        <w:t>Um wieder zur Währungsunion zurückzukommen:</w:t>
      </w:r>
    </w:p>
    <w:p w:rsidR="0034658B" w:rsidRDefault="0034658B" w:rsidP="0034658B">
      <w:r>
        <w:t xml:space="preserve">Also bei der Währungsunion geht es darum, dass Staaten </w:t>
      </w:r>
      <w:r w:rsidR="00190592">
        <w:t xml:space="preserve">ihre Staatverschulden </w:t>
      </w:r>
      <w:r w:rsidR="008D4109">
        <w:t>geringhalten</w:t>
      </w:r>
      <w:r w:rsidR="00190592">
        <w:t xml:space="preserve"> oder verringern da </w:t>
      </w:r>
      <w:r w:rsidR="00B479D4">
        <w:t xml:space="preserve">dies inflationär. Inflationär heißt das die Währung an Wert </w:t>
      </w:r>
      <w:r w:rsidR="008D4109">
        <w:t>verliert,</w:t>
      </w:r>
      <w:r w:rsidR="00B479D4">
        <w:t xml:space="preserve"> weil sie </w:t>
      </w:r>
      <w:r w:rsidR="00B479D4">
        <w:lastRenderedPageBreak/>
        <w:t xml:space="preserve">überbenutzt wird. </w:t>
      </w:r>
      <w:r w:rsidR="005766D2">
        <w:t>Dadurch sind dann höhere Zinsen die Folge</w:t>
      </w:r>
      <w:r w:rsidR="00D029A8">
        <w:t xml:space="preserve"> und wenn der Staat die Währung abwerten würde, hätte er </w:t>
      </w:r>
      <w:r w:rsidR="00EC0659">
        <w:t>gegenüber anderen Vorteile im Handel.</w:t>
      </w:r>
    </w:p>
    <w:p w:rsidR="0011515E" w:rsidRDefault="0011515E" w:rsidP="0034658B"/>
    <w:p w:rsidR="00E558EF" w:rsidRDefault="005C727D" w:rsidP="0011515E">
      <w:pPr>
        <w:pStyle w:val="berschrift2"/>
      </w:pPr>
      <w:r>
        <w:t>Stabilitäts- und Wachstumspaket</w:t>
      </w:r>
    </w:p>
    <w:p w:rsidR="004C371D" w:rsidRDefault="004C371D" w:rsidP="0034658B">
      <w:r>
        <w:t xml:space="preserve">Diese </w:t>
      </w:r>
      <w:r w:rsidR="00B92AF5">
        <w:t>wurden</w:t>
      </w:r>
      <w:r>
        <w:t xml:space="preserve"> verwendet für die Wertsicherung des Euros</w:t>
      </w:r>
      <w:r w:rsidR="00B92AF5">
        <w:t xml:space="preserve"> </w:t>
      </w:r>
      <w:r w:rsidR="00FB364F">
        <w:t>geschlossen. Wenn Euro Staaten längere Zeit gegen die Konvergenzkriterien verstoßen, werden sie zuerst verwarnt und später bestraft.</w:t>
      </w:r>
      <w:r w:rsidR="00A4625C">
        <w:t xml:space="preserve"> Es gibt aber Ausnahmen bei Naturkatastrophen oder Konjunktureinbrüche.</w:t>
      </w:r>
    </w:p>
    <w:p w:rsidR="0059769B" w:rsidRDefault="0059769B" w:rsidP="0034658B"/>
    <w:p w:rsidR="009A078F" w:rsidRDefault="009A078F" w:rsidP="0034658B"/>
    <w:p w:rsidR="009A078F" w:rsidRDefault="009A078F" w:rsidP="009A078F">
      <w:pPr>
        <w:pStyle w:val="berschrift1"/>
      </w:pPr>
      <w:r>
        <w:t>Europäische Zentralbank</w:t>
      </w:r>
    </w:p>
    <w:p w:rsidR="009410C1" w:rsidRDefault="006616DC" w:rsidP="009A078F">
      <w:r>
        <w:t>Die EZB hat den Sitz in Frankfurt am Main und ist ein Organ der EU.</w:t>
      </w:r>
      <w:r w:rsidR="00A725AB">
        <w:t xml:space="preserve"> Sie ist entstanden mit der Zusammenführung der</w:t>
      </w:r>
      <w:r w:rsidR="00016255">
        <w:t xml:space="preserve"> Nationalen </w:t>
      </w:r>
      <w:r w:rsidR="00767457">
        <w:t>Zentralbanken</w:t>
      </w:r>
      <w:r w:rsidR="00016255">
        <w:t xml:space="preserve"> und s</w:t>
      </w:r>
      <w:r w:rsidR="00F34A45">
        <w:t xml:space="preserve">ie ist gegenüber der EU </w:t>
      </w:r>
      <w:r w:rsidR="00F4289C">
        <w:t xml:space="preserve">unabhängig. </w:t>
      </w:r>
      <w:r w:rsidR="00CE1AE5">
        <w:t xml:space="preserve">Die EZB ist allein für die </w:t>
      </w:r>
      <w:r w:rsidR="004A061A">
        <w:t xml:space="preserve">Ausgaben des Euro zuständig aber es </w:t>
      </w:r>
      <w:r w:rsidR="001A7BBD">
        <w:t>erledigen meist die nationalen Notenbanken die in jedem Mitgliedstaat vorhanden sind.</w:t>
      </w:r>
      <w:r w:rsidR="00A05261">
        <w:t xml:space="preserve"> </w:t>
      </w:r>
      <w:r w:rsidR="0055394E">
        <w:t xml:space="preserve">Die nationalen Zentralbanken übertrugen einige </w:t>
      </w:r>
      <w:r w:rsidR="007F1A1B">
        <w:t>Währungsreserven wie Gold und De</w:t>
      </w:r>
      <w:r w:rsidR="0055394E">
        <w:t>visen</w:t>
      </w:r>
      <w:r w:rsidR="007F1A1B">
        <w:t xml:space="preserve"> (ausl</w:t>
      </w:r>
      <w:r w:rsidR="006C6AE9">
        <w:t>ändische Zahlungsmittel)</w:t>
      </w:r>
      <w:r w:rsidR="0055394E">
        <w:t xml:space="preserve">. </w:t>
      </w:r>
    </w:p>
    <w:p w:rsidR="00DE127C" w:rsidRDefault="00DE127C" w:rsidP="00013D79">
      <w:pPr>
        <w:pStyle w:val="berschrift2"/>
      </w:pPr>
      <w:r>
        <w:t>Wohlstand durch Schulden</w:t>
      </w:r>
    </w:p>
    <w:p w:rsidR="00DE127C" w:rsidRDefault="00DE127C" w:rsidP="009A078F">
      <w:r>
        <w:t xml:space="preserve">Wenn Staaten in einer </w:t>
      </w:r>
      <w:r w:rsidR="00686D5F">
        <w:t xml:space="preserve">schwachen Konjunkturphase </w:t>
      </w:r>
      <w:r w:rsidR="00415EEB">
        <w:t>sind</w:t>
      </w:r>
      <w:r w:rsidR="00686D5F">
        <w:t xml:space="preserve">, </w:t>
      </w:r>
      <w:r w:rsidR="0060492F">
        <w:t xml:space="preserve">probieren sich die Staaten mit </w:t>
      </w:r>
      <w:r w:rsidR="00030024">
        <w:t xml:space="preserve">Neuverschuldungen herausziehen. </w:t>
      </w:r>
      <w:r w:rsidR="00415EEB">
        <w:t>Sie verkaufen meistens Staatsanleihen an Banken</w:t>
      </w:r>
      <w:r w:rsidR="00EF2DA8">
        <w:t>, Versicherungen und internationalen Gelda</w:t>
      </w:r>
      <w:r w:rsidR="00565319">
        <w:t xml:space="preserve">nlegern. </w:t>
      </w:r>
      <w:r w:rsidR="003C6714">
        <w:t xml:space="preserve">Desto unsicherer oder schwächer die Volkswirtschaft ist, desto mehr Zinsen müssen bezahlt werden. </w:t>
      </w:r>
      <w:r w:rsidR="00641A00">
        <w:t xml:space="preserve">Staatsanleihen sind normalerweise sehr zuverlässig, da man nicht erwarten kann, dass ein Staat </w:t>
      </w:r>
      <w:r w:rsidR="00CD721A">
        <w:t>bankrottgeht</w:t>
      </w:r>
      <w:r w:rsidR="00641A00">
        <w:t>.</w:t>
      </w:r>
    </w:p>
    <w:p w:rsidR="00647DBD" w:rsidRDefault="00647DBD" w:rsidP="009A078F"/>
    <w:p w:rsidR="0085548B" w:rsidRDefault="0085548B" w:rsidP="00647DBD">
      <w:pPr>
        <w:pStyle w:val="berschrift2"/>
      </w:pPr>
      <w:r>
        <w:t>Geld und Währungspolitik</w:t>
      </w:r>
    </w:p>
    <w:p w:rsidR="00522753" w:rsidRDefault="00F1279B" w:rsidP="0085548B">
      <w:r>
        <w:t xml:space="preserve"> </w:t>
      </w:r>
      <w:r w:rsidR="0085548B">
        <w:t xml:space="preserve">Hauptsächliche Aufgabe der Geldpolitik ist die Banknotenausgabe. </w:t>
      </w:r>
      <w:r w:rsidR="00CA7477">
        <w:t xml:space="preserve">Die EZB braucht sogenannte Währungsreserven, damit sie zum Beispiel </w:t>
      </w:r>
      <w:r w:rsidR="00947B91">
        <w:t xml:space="preserve">Geld aus dem Umlauf nehmen können. </w:t>
      </w:r>
      <w:r w:rsidR="00C11ABB">
        <w:t>Die EZB legt außerdem die Leitzinsen fest</w:t>
      </w:r>
      <w:r w:rsidR="00A012CE">
        <w:t xml:space="preserve"> welcher wiederum die Geldpolitik be</w:t>
      </w:r>
      <w:r w:rsidR="00530770">
        <w:t>e</w:t>
      </w:r>
      <w:r w:rsidR="00A012CE">
        <w:t>influsst</w:t>
      </w:r>
      <w:r w:rsidR="00C11ABB">
        <w:t>.</w:t>
      </w:r>
      <w:r w:rsidR="00A012CE">
        <w:t xml:space="preserve"> </w:t>
      </w:r>
      <w:r w:rsidR="00FC4D9D">
        <w:t xml:space="preserve">Bei einem niedrigen Zinssatz können die Banken billige Kredite vergeben aber die Geldwertstabilität wird gefährdet. </w:t>
      </w:r>
    </w:p>
    <w:p w:rsidR="00532CC6" w:rsidRDefault="00532CC6" w:rsidP="003410DA">
      <w:pPr>
        <w:pStyle w:val="berschrift1"/>
      </w:pPr>
    </w:p>
    <w:p w:rsidR="00532CC6" w:rsidRDefault="003410DA" w:rsidP="003410DA">
      <w:pPr>
        <w:pStyle w:val="berschrift2"/>
      </w:pPr>
      <w:r>
        <w:t>Die EU als Solidargemeinschaft (Abbau von Disparitäten)</w:t>
      </w:r>
    </w:p>
    <w:p w:rsidR="003410DA" w:rsidRDefault="003410DA" w:rsidP="003410DA">
      <w:r>
        <w:t xml:space="preserve">Eines der Ziele der EU ist Disparitäten, also Ungleichheiten, </w:t>
      </w:r>
      <w:r w:rsidR="00A60964">
        <w:t xml:space="preserve">komplett abzubauen und gleiche Lebensbedingungen für alle Bürger und Bürgerinnen zu Schaffen. </w:t>
      </w:r>
      <w:r w:rsidR="00F520B6">
        <w:t xml:space="preserve">Es wird </w:t>
      </w:r>
      <w:r w:rsidR="003C07D2">
        <w:t>des Geldes</w:t>
      </w:r>
      <w:r w:rsidR="00F520B6">
        <w:t xml:space="preserve"> umverteilt mit Hilfe von Fonds (</w:t>
      </w:r>
      <w:r w:rsidR="0098723F">
        <w:t>bestimmte Zwecke</w:t>
      </w:r>
      <w:r w:rsidR="00F520B6">
        <w:t xml:space="preserve"> </w:t>
      </w:r>
      <w:r w:rsidR="007C33CE">
        <w:t>vorgesehene Geldmittelbestände).</w:t>
      </w:r>
      <w:r w:rsidR="0098723F">
        <w:t xml:space="preserve"> Mit diesem Geld werden dann zum Beispiel Verkehrswege gebaut, Arbeitsplätze geschaffen und soziale Probleme</w:t>
      </w:r>
      <w:r w:rsidR="003C07D2">
        <w:t xml:space="preserve"> (Krankenversorgung)</w:t>
      </w:r>
      <w:r w:rsidR="0098723F">
        <w:t xml:space="preserve"> gelöst.</w:t>
      </w:r>
      <w:r w:rsidR="00353FB3">
        <w:t xml:space="preserve"> </w:t>
      </w:r>
    </w:p>
    <w:p w:rsidR="003410DA" w:rsidRDefault="0016164F" w:rsidP="003410DA">
      <w:r>
        <w:t>Staatliche Beihilfen sind von der EU eigentlich nicht erwünscht, da sie den Wettbewerb verzerren</w:t>
      </w:r>
      <w:r w:rsidR="008C2C36">
        <w:t xml:space="preserve"> </w:t>
      </w:r>
      <w:r>
        <w:t>(Wettbewerbsbedingungen ungleich).</w:t>
      </w:r>
      <w:r w:rsidR="00295F26">
        <w:t xml:space="preserve"> </w:t>
      </w:r>
      <w:r w:rsidR="005D4166">
        <w:t xml:space="preserve">Es </w:t>
      </w:r>
      <w:r w:rsidR="00CB4890">
        <w:t xml:space="preserve">können </w:t>
      </w:r>
      <w:r w:rsidR="005D4166">
        <w:t>aber Förderungen von der EU</w:t>
      </w:r>
      <w:r w:rsidR="00CB4890">
        <w:t>-Kommission</w:t>
      </w:r>
      <w:r w:rsidR="00260BFD">
        <w:t xml:space="preserve"> eingestimmt werden</w:t>
      </w:r>
      <w:r w:rsidR="007C1D67">
        <w:t xml:space="preserve">. Die EU gibt ebenfalls Förderungen, aber nur an Projekte die den Wettbewerb nicht behindern. </w:t>
      </w:r>
      <w:r w:rsidR="003E1532">
        <w:t xml:space="preserve">Aus Brüssel bekommt man nur </w:t>
      </w:r>
      <w:r w:rsidR="005D5F80">
        <w:t>Geld,</w:t>
      </w:r>
      <w:r w:rsidR="003E1532">
        <w:t xml:space="preserve"> wenn der betreffende Staat mitzählt.</w:t>
      </w:r>
      <w:r w:rsidR="004636C2">
        <w:t xml:space="preserve"> </w:t>
      </w:r>
    </w:p>
    <w:p w:rsidR="005D5F80" w:rsidRDefault="005D5F80" w:rsidP="003410DA">
      <w:r>
        <w:t>In den Regionen der EU die wirtschaftlich schwach ein</w:t>
      </w:r>
      <w:r w:rsidR="009907BA">
        <w:t xml:space="preserve">gestuft werden fließen am meisten Subventionen ein. </w:t>
      </w:r>
      <w:r w:rsidR="00EC0BCF">
        <w:t>Sie haben außerdem einen deutlichen Entwicklungsrückstand, d.h</w:t>
      </w:r>
      <w:r w:rsidR="00F02CEA">
        <w:t>.</w:t>
      </w:r>
      <w:r w:rsidR="00EC0BCF">
        <w:t xml:space="preserve"> dass das </w:t>
      </w:r>
      <w:r w:rsidR="00EC0BCF">
        <w:lastRenderedPageBreak/>
        <w:t xml:space="preserve">BIP/Kopf unter 75% </w:t>
      </w:r>
      <w:r w:rsidR="00F633CE">
        <w:t xml:space="preserve">des EU Mittelwertes </w:t>
      </w:r>
      <w:r w:rsidR="00EC0BCF">
        <w:t xml:space="preserve">liegt. </w:t>
      </w:r>
      <w:r w:rsidR="00E320A4">
        <w:t xml:space="preserve">(Konvergenzregionen) </w:t>
      </w:r>
      <w:r w:rsidR="00892B47">
        <w:t>heißt,</w:t>
      </w:r>
      <w:r w:rsidR="00E320A4">
        <w:t xml:space="preserve"> dass eine Annäherung an das Wirtschafts- und Wohlstandsniveau der reicheren Regionen. </w:t>
      </w:r>
      <w:r w:rsidR="00892B47">
        <w:t xml:space="preserve">95% der EU-Förderungen kommen </w:t>
      </w:r>
      <w:r w:rsidR="00B07602">
        <w:t xml:space="preserve">den </w:t>
      </w:r>
      <w:r w:rsidR="00400C0B">
        <w:t>benachteiligten</w:t>
      </w:r>
      <w:r w:rsidR="00B07602">
        <w:t xml:space="preserve"> Gebieten zugute. </w:t>
      </w:r>
      <w:r w:rsidR="00400C0B">
        <w:t xml:space="preserve">Sie sind benachteiligt da sie eher am Rand der EU liegen oder </w:t>
      </w:r>
      <w:r w:rsidR="00ED6E06">
        <w:t xml:space="preserve">sind </w:t>
      </w:r>
      <w:r w:rsidR="00400C0B">
        <w:t>e</w:t>
      </w:r>
      <w:r w:rsidR="00ED6E06">
        <w:t xml:space="preserve">hemalige kommunistische Staaten. </w:t>
      </w:r>
      <w:r w:rsidR="007F36ED">
        <w:t>100 Mio. Menschen leben in diesen Gebieten und werden indirekt oder direk</w:t>
      </w:r>
      <w:r w:rsidR="00C9650E">
        <w:t xml:space="preserve">t von dieser Hilfe profitieren, doch es wird nicht immer sorgsam damit umgegangen. </w:t>
      </w:r>
    </w:p>
    <w:p w:rsidR="00B26DC7" w:rsidRDefault="00B26DC7" w:rsidP="003410DA">
      <w:r>
        <w:t xml:space="preserve">Die Kommission und die Mitgliedstaaten zusammen entscheiden welche Gebiete gefördert werden sollen und welche nicht. </w:t>
      </w:r>
      <w:r w:rsidR="007E0C84">
        <w:t xml:space="preserve"> </w:t>
      </w:r>
    </w:p>
    <w:p w:rsidR="005B2E67" w:rsidRDefault="005B2E67" w:rsidP="00E55498">
      <w:pPr>
        <w:pStyle w:val="berschrift2"/>
      </w:pPr>
      <w:r>
        <w:t>Fonds aus denen die F</w:t>
      </w:r>
      <w:r w:rsidR="00BA17AE">
        <w:t>ördergelder kommen:</w:t>
      </w:r>
    </w:p>
    <w:p w:rsidR="00BA17AE" w:rsidRDefault="00BA17AE" w:rsidP="003410DA">
      <w:r w:rsidRPr="00E55498">
        <w:rPr>
          <w:b/>
        </w:rPr>
        <w:t>Fonds für regionale Entwicklung (EFRE):</w:t>
      </w:r>
      <w:r>
        <w:t xml:space="preserve"> Hilfe bei der Umstellung veralteter Industriegebiete, bessere Lebens- und Arbeitschancen im ländlichen Raum</w:t>
      </w:r>
    </w:p>
    <w:p w:rsidR="00BA17AE" w:rsidRDefault="00BA17AE" w:rsidP="003410DA">
      <w:r w:rsidRPr="00E55498">
        <w:rPr>
          <w:b/>
        </w:rPr>
        <w:t>Sozialfonds:</w:t>
      </w:r>
      <w:r>
        <w:t xml:space="preserve"> Bekämpfung von Arbeitslosigkeit, Förderung der Beschäftigung für Frauen und Jugendliche</w:t>
      </w:r>
    </w:p>
    <w:p w:rsidR="00BA17AE" w:rsidRDefault="00BA17AE" w:rsidP="003410DA">
      <w:r w:rsidRPr="00E55498">
        <w:rPr>
          <w:b/>
        </w:rPr>
        <w:t>Kohäsionsfonds:</w:t>
      </w:r>
      <w:r>
        <w:t xml:space="preserve"> Förderung von Verkehrseinrichtungen und Umweltschutz in ärmeren Regionen</w:t>
      </w:r>
    </w:p>
    <w:p w:rsidR="00BA17AE" w:rsidRDefault="00BA17AE" w:rsidP="003410DA">
      <w:r w:rsidRPr="00E55498">
        <w:rPr>
          <w:b/>
        </w:rPr>
        <w:t>Ausgleichs- und Garantiefonds:</w:t>
      </w:r>
      <w:r>
        <w:t xml:space="preserve"> Förderung der Anpassung der Produktion an die Marktbedürfnisse sowie die Verarbeitung und Vermarktung im Bereich Landwirtschaft</w:t>
      </w:r>
    </w:p>
    <w:p w:rsidR="00BA17AE" w:rsidRPr="003410DA" w:rsidRDefault="00BA17AE" w:rsidP="003410DA">
      <w:r w:rsidRPr="00E55498">
        <w:rPr>
          <w:b/>
        </w:rPr>
        <w:t>Interreg:</w:t>
      </w:r>
      <w:r>
        <w:t xml:space="preserve"> Förderung von Grenzregionen an den Außen- und Binnengrenzen besonders von grenzüberschreitenden Proje</w:t>
      </w:r>
      <w:bookmarkStart w:id="0" w:name="_GoBack"/>
      <w:bookmarkEnd w:id="0"/>
      <w:r>
        <w:t>kten.</w:t>
      </w:r>
    </w:p>
    <w:p w:rsidR="003410DA" w:rsidRDefault="00E320A4" w:rsidP="0085548B">
      <w:r>
        <w:t xml:space="preserve"> </w:t>
      </w:r>
    </w:p>
    <w:p w:rsidR="0058376B" w:rsidRDefault="0058376B" w:rsidP="00E55498">
      <w:pPr>
        <w:pStyle w:val="berschrift2"/>
      </w:pPr>
      <w:r>
        <w:t>Und zum Schluss:</w:t>
      </w:r>
    </w:p>
    <w:p w:rsidR="0058376B" w:rsidRDefault="0058376B" w:rsidP="0085548B">
      <w:r>
        <w:t>Wie finanziert sich die EU?</w:t>
      </w:r>
    </w:p>
    <w:p w:rsidR="0058376B" w:rsidRPr="00522753" w:rsidRDefault="0058376B" w:rsidP="0085548B">
      <w:r>
        <w:t xml:space="preserve">Abbildung </w:t>
      </w:r>
      <w:r w:rsidR="002028DC">
        <w:t>141.2</w:t>
      </w:r>
    </w:p>
    <w:sectPr w:rsidR="0058376B" w:rsidRPr="005227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5D1EBF"/>
    <w:multiLevelType w:val="hybridMultilevel"/>
    <w:tmpl w:val="74C4E43C"/>
    <w:lvl w:ilvl="0" w:tplc="283A9DD4">
      <w:start w:val="50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393"/>
    <w:rsid w:val="00013D79"/>
    <w:rsid w:val="00016255"/>
    <w:rsid w:val="00030024"/>
    <w:rsid w:val="00035B17"/>
    <w:rsid w:val="000A466D"/>
    <w:rsid w:val="0011515E"/>
    <w:rsid w:val="0016164F"/>
    <w:rsid w:val="00190592"/>
    <w:rsid w:val="001A444A"/>
    <w:rsid w:val="001A7BBD"/>
    <w:rsid w:val="001C05AD"/>
    <w:rsid w:val="001C09B6"/>
    <w:rsid w:val="001C0E83"/>
    <w:rsid w:val="001E2A4B"/>
    <w:rsid w:val="001F1260"/>
    <w:rsid w:val="002028DC"/>
    <w:rsid w:val="00212D04"/>
    <w:rsid w:val="00214137"/>
    <w:rsid w:val="002358AC"/>
    <w:rsid w:val="00260BFD"/>
    <w:rsid w:val="00272253"/>
    <w:rsid w:val="00293546"/>
    <w:rsid w:val="00295F26"/>
    <w:rsid w:val="002C70B6"/>
    <w:rsid w:val="003410DA"/>
    <w:rsid w:val="0034658B"/>
    <w:rsid w:val="00353FB3"/>
    <w:rsid w:val="00355EB7"/>
    <w:rsid w:val="00365177"/>
    <w:rsid w:val="003C07D2"/>
    <w:rsid w:val="003C6714"/>
    <w:rsid w:val="003C765A"/>
    <w:rsid w:val="003C7715"/>
    <w:rsid w:val="003E1532"/>
    <w:rsid w:val="003F0F3C"/>
    <w:rsid w:val="003F4333"/>
    <w:rsid w:val="00400C0B"/>
    <w:rsid w:val="00415EEB"/>
    <w:rsid w:val="004636C2"/>
    <w:rsid w:val="004A061A"/>
    <w:rsid w:val="004C371D"/>
    <w:rsid w:val="004F6FF0"/>
    <w:rsid w:val="00522753"/>
    <w:rsid w:val="00522F09"/>
    <w:rsid w:val="00530770"/>
    <w:rsid w:val="00532CC6"/>
    <w:rsid w:val="0055394E"/>
    <w:rsid w:val="00565319"/>
    <w:rsid w:val="005766D2"/>
    <w:rsid w:val="0058376B"/>
    <w:rsid w:val="0059769B"/>
    <w:rsid w:val="005A5FB1"/>
    <w:rsid w:val="005B2E67"/>
    <w:rsid w:val="005C62A7"/>
    <w:rsid w:val="005C727D"/>
    <w:rsid w:val="005D2795"/>
    <w:rsid w:val="005D4166"/>
    <w:rsid w:val="005D5F80"/>
    <w:rsid w:val="005E7868"/>
    <w:rsid w:val="005F3706"/>
    <w:rsid w:val="0060492F"/>
    <w:rsid w:val="00641A00"/>
    <w:rsid w:val="00647DBD"/>
    <w:rsid w:val="0065056A"/>
    <w:rsid w:val="006616DC"/>
    <w:rsid w:val="006731DC"/>
    <w:rsid w:val="00686D5F"/>
    <w:rsid w:val="006B5C29"/>
    <w:rsid w:val="006C1120"/>
    <w:rsid w:val="006C6AE9"/>
    <w:rsid w:val="0075263D"/>
    <w:rsid w:val="00755846"/>
    <w:rsid w:val="00767457"/>
    <w:rsid w:val="00773BE9"/>
    <w:rsid w:val="00781C27"/>
    <w:rsid w:val="007A1A93"/>
    <w:rsid w:val="007C1D67"/>
    <w:rsid w:val="007C33CE"/>
    <w:rsid w:val="007E0C84"/>
    <w:rsid w:val="007E761C"/>
    <w:rsid w:val="007F1A1B"/>
    <w:rsid w:val="007F36ED"/>
    <w:rsid w:val="00815767"/>
    <w:rsid w:val="00820268"/>
    <w:rsid w:val="00824393"/>
    <w:rsid w:val="0085548B"/>
    <w:rsid w:val="00892B47"/>
    <w:rsid w:val="00893D17"/>
    <w:rsid w:val="008B657F"/>
    <w:rsid w:val="008C2C36"/>
    <w:rsid w:val="008C500A"/>
    <w:rsid w:val="008D4109"/>
    <w:rsid w:val="008E638D"/>
    <w:rsid w:val="00904FAD"/>
    <w:rsid w:val="009323CC"/>
    <w:rsid w:val="009410C1"/>
    <w:rsid w:val="00947B91"/>
    <w:rsid w:val="00950864"/>
    <w:rsid w:val="009632D7"/>
    <w:rsid w:val="0098723F"/>
    <w:rsid w:val="009907BA"/>
    <w:rsid w:val="00995FF9"/>
    <w:rsid w:val="009A078F"/>
    <w:rsid w:val="009A1D3F"/>
    <w:rsid w:val="009B7911"/>
    <w:rsid w:val="009C5502"/>
    <w:rsid w:val="009E76C8"/>
    <w:rsid w:val="00A012CE"/>
    <w:rsid w:val="00A0379C"/>
    <w:rsid w:val="00A05261"/>
    <w:rsid w:val="00A4625C"/>
    <w:rsid w:val="00A60964"/>
    <w:rsid w:val="00A725AB"/>
    <w:rsid w:val="00A8711C"/>
    <w:rsid w:val="00A90D11"/>
    <w:rsid w:val="00AA52A1"/>
    <w:rsid w:val="00AB15BC"/>
    <w:rsid w:val="00B07602"/>
    <w:rsid w:val="00B26DC7"/>
    <w:rsid w:val="00B30E5F"/>
    <w:rsid w:val="00B479D4"/>
    <w:rsid w:val="00B60549"/>
    <w:rsid w:val="00B67DCD"/>
    <w:rsid w:val="00B92AF5"/>
    <w:rsid w:val="00BA17AE"/>
    <w:rsid w:val="00BA430B"/>
    <w:rsid w:val="00C057BF"/>
    <w:rsid w:val="00C11ABB"/>
    <w:rsid w:val="00C50710"/>
    <w:rsid w:val="00C60DA4"/>
    <w:rsid w:val="00C813D5"/>
    <w:rsid w:val="00C9650E"/>
    <w:rsid w:val="00CA7477"/>
    <w:rsid w:val="00CB4890"/>
    <w:rsid w:val="00CD721A"/>
    <w:rsid w:val="00CD74AE"/>
    <w:rsid w:val="00CE1AE5"/>
    <w:rsid w:val="00D029A8"/>
    <w:rsid w:val="00D05AF7"/>
    <w:rsid w:val="00D47C50"/>
    <w:rsid w:val="00D7562F"/>
    <w:rsid w:val="00D91B1B"/>
    <w:rsid w:val="00D92798"/>
    <w:rsid w:val="00DE127C"/>
    <w:rsid w:val="00E20B66"/>
    <w:rsid w:val="00E320A4"/>
    <w:rsid w:val="00E55498"/>
    <w:rsid w:val="00E558EF"/>
    <w:rsid w:val="00E703F8"/>
    <w:rsid w:val="00E8466D"/>
    <w:rsid w:val="00EB4F5E"/>
    <w:rsid w:val="00EC063A"/>
    <w:rsid w:val="00EC0659"/>
    <w:rsid w:val="00EC0BCF"/>
    <w:rsid w:val="00ED6E06"/>
    <w:rsid w:val="00EF1754"/>
    <w:rsid w:val="00EF2DA8"/>
    <w:rsid w:val="00F02CEA"/>
    <w:rsid w:val="00F06436"/>
    <w:rsid w:val="00F1279B"/>
    <w:rsid w:val="00F34A45"/>
    <w:rsid w:val="00F4289C"/>
    <w:rsid w:val="00F520B6"/>
    <w:rsid w:val="00F633CE"/>
    <w:rsid w:val="00F74CC5"/>
    <w:rsid w:val="00FB364F"/>
    <w:rsid w:val="00FC4D9D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D09D"/>
  <w15:chartTrackingRefBased/>
  <w15:docId w15:val="{277C1939-DE3B-4C70-8EC1-3B76FFDB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243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22F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410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43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sid w:val="00824393"/>
    <w:rPr>
      <w:strike w:val="0"/>
      <w:dstrike w:val="0"/>
      <w:color w:val="7697B8"/>
      <w:u w:val="none"/>
      <w:effect w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2F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0A466D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3410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irtschaftslexikon.gabler.de/Definition/niederlassungsfreihei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rtschaftslexikon.gabler.de/Definition/freizuegigkeit.html" TargetMode="External"/><Relationship Id="rId5" Type="http://schemas.openxmlformats.org/officeDocument/2006/relationships/hyperlink" Target="http://wirtschaftslexikon.gabler.de/Definition/kapitalverkeh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319</cp:revision>
  <dcterms:created xsi:type="dcterms:W3CDTF">2017-06-06T16:39:00Z</dcterms:created>
  <dcterms:modified xsi:type="dcterms:W3CDTF">2017-06-08T10:58:00Z</dcterms:modified>
</cp:coreProperties>
</file>