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AF56" w14:textId="77777777" w:rsidR="006F350B" w:rsidRDefault="006F350B" w:rsidP="006F350B">
      <w:pPr>
        <w:pStyle w:val="berschrift1"/>
        <w:numPr>
          <w:ilvl w:val="0"/>
          <w:numId w:val="0"/>
        </w:numPr>
        <w:ind w:left="432" w:hanging="432"/>
        <w:rPr>
          <w:color w:val="C00000"/>
        </w:rPr>
      </w:pPr>
      <w:r>
        <w:rPr>
          <w:color w:val="C00000"/>
        </w:rPr>
        <w:t>Investition</w:t>
      </w:r>
    </w:p>
    <w:p w14:paraId="6975FFAB" w14:textId="0D5091D2" w:rsidR="005D0EAC" w:rsidRDefault="00534C36" w:rsidP="006F350B">
      <w:r>
        <w:t>Verwendung finanzieller Ressourcen zur Beschaffung von Vermögen.</w:t>
      </w:r>
    </w:p>
    <w:p w14:paraId="139D67B0" w14:textId="49B615FA" w:rsidR="00534C36" w:rsidRDefault="00534C36" w:rsidP="006F350B">
      <w:r>
        <w:rPr>
          <w:noProof/>
        </w:rPr>
        <w:drawing>
          <wp:inline distT="0" distB="0" distL="0" distR="0" wp14:anchorId="23660CE9" wp14:editId="1D2258D1">
            <wp:extent cx="4741663" cy="2232459"/>
            <wp:effectExtent l="0" t="0" r="1905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8"/>
                    <a:srcRect l="5909" t="10245" r="11754" b="18027"/>
                    <a:stretch/>
                  </pic:blipFill>
                  <pic:spPr bwMode="auto">
                    <a:xfrm>
                      <a:off x="0" y="0"/>
                      <a:ext cx="4743192" cy="223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B7F3" w14:textId="40B9DDCA" w:rsidR="00534C36" w:rsidRDefault="00534C36" w:rsidP="00534C36">
      <w:pPr>
        <w:pStyle w:val="Listenabsatz"/>
        <w:numPr>
          <w:ilvl w:val="0"/>
          <w:numId w:val="34"/>
        </w:numPr>
      </w:pPr>
      <w:r w:rsidRPr="00713109">
        <w:rPr>
          <w:highlight w:val="yellow"/>
        </w:rPr>
        <w:t>Neuinvestition</w:t>
      </w:r>
      <w:r>
        <w:t>: Neue Objekte werden angeschafft.</w:t>
      </w:r>
    </w:p>
    <w:p w14:paraId="357E73B0" w14:textId="42E98A5F" w:rsidR="00534C36" w:rsidRDefault="00534C36" w:rsidP="00534C36">
      <w:pPr>
        <w:pStyle w:val="Listenabsatz"/>
        <w:numPr>
          <w:ilvl w:val="0"/>
          <w:numId w:val="34"/>
        </w:numPr>
      </w:pPr>
      <w:r w:rsidRPr="00713109">
        <w:rPr>
          <w:highlight w:val="yellow"/>
        </w:rPr>
        <w:t>Erstinvestition</w:t>
      </w:r>
      <w:r>
        <w:t>: Investitionen beim Aufbau der Unternehmung</w:t>
      </w:r>
    </w:p>
    <w:p w14:paraId="146E23F9" w14:textId="72040445" w:rsidR="00534C36" w:rsidRDefault="00534C36" w:rsidP="00534C36">
      <w:pPr>
        <w:pStyle w:val="Listenabsatz"/>
        <w:numPr>
          <w:ilvl w:val="0"/>
          <w:numId w:val="34"/>
        </w:numPr>
      </w:pPr>
      <w:r w:rsidRPr="00713109">
        <w:rPr>
          <w:highlight w:val="yellow"/>
        </w:rPr>
        <w:t>Erweiterungsinvestitionen</w:t>
      </w:r>
      <w:r>
        <w:t>: Investitionen zur Erweiterung der betrieblichen Kapazität</w:t>
      </w:r>
    </w:p>
    <w:p w14:paraId="1F24AE93" w14:textId="71AAD96F" w:rsidR="00534C36" w:rsidRDefault="00534C36" w:rsidP="00534C36">
      <w:pPr>
        <w:pStyle w:val="Listenabsatz"/>
        <w:numPr>
          <w:ilvl w:val="0"/>
          <w:numId w:val="34"/>
        </w:numPr>
      </w:pPr>
      <w:r w:rsidRPr="00713109">
        <w:rPr>
          <w:highlight w:val="yellow"/>
        </w:rPr>
        <w:t>Rationalisierungsinvestition</w:t>
      </w:r>
      <w:r>
        <w:t>: Ersetzen eines Objektes durch ein besseres</w:t>
      </w:r>
    </w:p>
    <w:p w14:paraId="42646A31" w14:textId="1C3BAF47" w:rsidR="00534C36" w:rsidRDefault="00534C36" w:rsidP="00534C36">
      <w:pPr>
        <w:pStyle w:val="Listenabsatz"/>
        <w:numPr>
          <w:ilvl w:val="0"/>
          <w:numId w:val="34"/>
        </w:numPr>
      </w:pPr>
      <w:r w:rsidRPr="00713109">
        <w:rPr>
          <w:highlight w:val="yellow"/>
        </w:rPr>
        <w:t>Ersatzinvestition</w:t>
      </w:r>
      <w:r>
        <w:t xml:space="preserve">: Ersetzen eines </w:t>
      </w:r>
      <w:r w:rsidR="0088451D">
        <w:t>Objektes,</w:t>
      </w:r>
      <w:r>
        <w:t xml:space="preserve"> welches die Nutzungsdauer überschritten hat.</w:t>
      </w:r>
    </w:p>
    <w:p w14:paraId="72A151DF" w14:textId="6D62733E" w:rsidR="0088451D" w:rsidRDefault="0088451D" w:rsidP="0088451D"/>
    <w:p w14:paraId="74EBF0FB" w14:textId="3670DE8D" w:rsidR="0088451D" w:rsidRDefault="0088451D" w:rsidP="0088451D">
      <w:pPr>
        <w:rPr>
          <w:u w:val="single"/>
        </w:rPr>
      </w:pPr>
      <w:r>
        <w:rPr>
          <w:u w:val="single"/>
        </w:rPr>
        <w:t>Investitionsmanagement:</w:t>
      </w:r>
    </w:p>
    <w:p w14:paraId="0CBC96AD" w14:textId="58638B51" w:rsidR="0088451D" w:rsidRPr="00713109" w:rsidRDefault="0088451D" w:rsidP="0088451D">
      <w:r w:rsidRPr="00713109">
        <w:t>Drei Phasen:</w:t>
      </w:r>
    </w:p>
    <w:p w14:paraId="7DE477FE" w14:textId="3139F09E" w:rsidR="0088451D" w:rsidRPr="00713109" w:rsidRDefault="0088451D" w:rsidP="0088451D">
      <w:pPr>
        <w:pStyle w:val="Listenabsatz"/>
        <w:numPr>
          <w:ilvl w:val="0"/>
          <w:numId w:val="35"/>
        </w:numPr>
      </w:pPr>
      <w:r w:rsidRPr="00713109">
        <w:t>Planung und Entscheidung</w:t>
      </w:r>
    </w:p>
    <w:p w14:paraId="16D0BD29" w14:textId="391905F8" w:rsidR="0088451D" w:rsidRPr="00713109" w:rsidRDefault="0088451D" w:rsidP="0088451D">
      <w:pPr>
        <w:pStyle w:val="Listenabsatz"/>
        <w:numPr>
          <w:ilvl w:val="0"/>
          <w:numId w:val="35"/>
        </w:numPr>
      </w:pPr>
      <w:r w:rsidRPr="00713109">
        <w:t>Umsetzung bzw. Durchführung</w:t>
      </w:r>
    </w:p>
    <w:p w14:paraId="1006BAF0" w14:textId="2C9E09F3" w:rsidR="0088451D" w:rsidRPr="00713109" w:rsidRDefault="0088451D" w:rsidP="0088451D">
      <w:pPr>
        <w:pStyle w:val="Listenabsatz"/>
        <w:numPr>
          <w:ilvl w:val="0"/>
          <w:numId w:val="35"/>
        </w:numPr>
      </w:pPr>
      <w:r w:rsidRPr="00713109">
        <w:t>Kontrolle</w:t>
      </w:r>
    </w:p>
    <w:p w14:paraId="45F07C61" w14:textId="351405B3" w:rsidR="0088451D" w:rsidRDefault="0088451D" w:rsidP="0088451D"/>
    <w:p w14:paraId="7CEBD7D5" w14:textId="3E6BD443" w:rsidR="0088451D" w:rsidRDefault="0088451D" w:rsidP="0088451D">
      <w:r w:rsidRPr="00713109">
        <w:rPr>
          <w:highlight w:val="yellow"/>
        </w:rPr>
        <w:t>-Planung und Entscheidung</w:t>
      </w:r>
    </w:p>
    <w:p w14:paraId="49BAE661" w14:textId="4227FD0F" w:rsidR="0088451D" w:rsidRDefault="0088451D" w:rsidP="0088451D">
      <w:r>
        <w:t>Es mussermittelt werden, ob eine Investition vorteilhaft ist bzw. welche am vorteilhaftesten ist</w:t>
      </w:r>
    </w:p>
    <w:p w14:paraId="1323F208" w14:textId="6508DE9E" w:rsidR="0088451D" w:rsidRDefault="0088451D" w:rsidP="0088451D"/>
    <w:p w14:paraId="205138B4" w14:textId="039BC61A" w:rsidR="0088451D" w:rsidRDefault="0088451D" w:rsidP="0088451D">
      <w:r w:rsidRPr="00713109">
        <w:rPr>
          <w:highlight w:val="yellow"/>
        </w:rPr>
        <w:t>-Umsetzung bzw. Durchführung</w:t>
      </w:r>
    </w:p>
    <w:p w14:paraId="0A0B8DAB" w14:textId="3BCE1E33" w:rsidR="0088451D" w:rsidRDefault="0088451D" w:rsidP="0088451D">
      <w:r>
        <w:t>Erwerb des Objektes, der Bestellung und Lieferung und die Inbetriebnahme.</w:t>
      </w:r>
    </w:p>
    <w:p w14:paraId="6D696B7B" w14:textId="004D4F8A" w:rsidR="0088451D" w:rsidRDefault="0088451D" w:rsidP="0088451D"/>
    <w:p w14:paraId="30F10C5E" w14:textId="66462CAE" w:rsidR="0088451D" w:rsidRDefault="0088451D" w:rsidP="0088451D">
      <w:r>
        <w:t>-</w:t>
      </w:r>
      <w:r w:rsidRPr="00713109">
        <w:rPr>
          <w:highlight w:val="yellow"/>
        </w:rPr>
        <w:t>Kontrolle</w:t>
      </w:r>
    </w:p>
    <w:p w14:paraId="2D2D036D" w14:textId="6C66E78E" w:rsidR="0088451D" w:rsidRDefault="00C5110A" w:rsidP="0088451D">
      <w:r>
        <w:t>Die Kontrolle umfasst die Investitionsnachrechnung, Budgetkontrolle und bilanzorientierten Kapital und Vermögensbindungskontrollen. Es wird kontrolliert, ob die Leistung erbracht wird.</w:t>
      </w:r>
    </w:p>
    <w:p w14:paraId="42CE2E38" w14:textId="7ACFE917" w:rsidR="00C5110A" w:rsidRDefault="00C5110A" w:rsidP="0088451D"/>
    <w:p w14:paraId="152E13E4" w14:textId="4CE32151" w:rsidR="00C5110A" w:rsidRDefault="00C5110A" w:rsidP="0088451D">
      <w:pPr>
        <w:rPr>
          <w:u w:val="single"/>
        </w:rPr>
      </w:pPr>
      <w:r>
        <w:rPr>
          <w:u w:val="single"/>
        </w:rPr>
        <w:t>Investitionsentscheidung</w:t>
      </w:r>
    </w:p>
    <w:p w14:paraId="4081FA91" w14:textId="197B2A37" w:rsidR="00C5110A" w:rsidRDefault="00C5110A" w:rsidP="0088451D">
      <w:r w:rsidRPr="00C5110A">
        <w:t>Es wird entschieden ob die Investition getätigt wird</w:t>
      </w:r>
      <w:r>
        <w:t>. Es gibt:</w:t>
      </w:r>
    </w:p>
    <w:p w14:paraId="250F4777" w14:textId="1C922D71" w:rsidR="00C5110A" w:rsidRDefault="00C5110A" w:rsidP="00C5110A">
      <w:pPr>
        <w:pStyle w:val="Listenabsatz"/>
        <w:numPr>
          <w:ilvl w:val="0"/>
          <w:numId w:val="36"/>
        </w:numPr>
      </w:pPr>
      <w:r w:rsidRPr="00713109">
        <w:rPr>
          <w:highlight w:val="yellow"/>
        </w:rPr>
        <w:t>Einzelentscheidung</w:t>
      </w:r>
      <w:r>
        <w:t xml:space="preserve">: Ist </w:t>
      </w:r>
      <w:proofErr w:type="gramStart"/>
      <w:r>
        <w:t>eine Ja</w:t>
      </w:r>
      <w:proofErr w:type="gramEnd"/>
      <w:r>
        <w:t xml:space="preserve"> oder Nein Entscheidung über ein Objekt</w:t>
      </w:r>
    </w:p>
    <w:p w14:paraId="2EE5FEC1" w14:textId="392D7DCC" w:rsidR="00C5110A" w:rsidRDefault="00C5110A" w:rsidP="00C5110A">
      <w:pPr>
        <w:pStyle w:val="Listenabsatz"/>
        <w:numPr>
          <w:ilvl w:val="0"/>
          <w:numId w:val="36"/>
        </w:numPr>
      </w:pPr>
      <w:r w:rsidRPr="00713109">
        <w:rPr>
          <w:highlight w:val="yellow"/>
        </w:rPr>
        <w:t>Auswahlentscheidung</w:t>
      </w:r>
      <w:r>
        <w:t>: Eines von mehreren Objekten wird ausgewählt</w:t>
      </w:r>
    </w:p>
    <w:p w14:paraId="213FD95F" w14:textId="40450CDD" w:rsidR="00C5110A" w:rsidRPr="00C5110A" w:rsidRDefault="00C5110A" w:rsidP="00C5110A">
      <w:pPr>
        <w:pStyle w:val="Listenabsatz"/>
        <w:numPr>
          <w:ilvl w:val="0"/>
          <w:numId w:val="36"/>
        </w:numPr>
      </w:pPr>
      <w:r w:rsidRPr="00713109">
        <w:rPr>
          <w:highlight w:val="yellow"/>
        </w:rPr>
        <w:t>Ersatzentscheidung</w:t>
      </w:r>
      <w:r>
        <w:t>: Entscheidung ob ein Objekt ersetzt werden soll</w:t>
      </w:r>
    </w:p>
    <w:p w14:paraId="51A88BE6" w14:textId="77777777" w:rsidR="006F350B" w:rsidRDefault="006F350B" w:rsidP="006F350B"/>
    <w:p w14:paraId="4A0BDF4E" w14:textId="02977D25" w:rsidR="006F350B" w:rsidRDefault="006F350B" w:rsidP="00434738">
      <w:pPr>
        <w:pStyle w:val="berschrift1"/>
        <w:numPr>
          <w:ilvl w:val="0"/>
          <w:numId w:val="0"/>
        </w:numPr>
        <w:ind w:left="432" w:hanging="432"/>
        <w:rPr>
          <w:color w:val="C00000"/>
        </w:rPr>
      </w:pPr>
      <w:r w:rsidRPr="006F350B">
        <w:rPr>
          <w:color w:val="C00000"/>
        </w:rPr>
        <w:lastRenderedPageBreak/>
        <w:t xml:space="preserve">Verfahren der Investitionsrechnung </w:t>
      </w:r>
    </w:p>
    <w:p w14:paraId="035CC3CE" w14:textId="0BB312C7" w:rsidR="007903FE" w:rsidRDefault="007903FE" w:rsidP="007903FE">
      <w:r>
        <w:t xml:space="preserve">Investitionsrechnung </w:t>
      </w:r>
      <w:r>
        <w:sym w:font="Wingdings" w:char="F0E0"/>
      </w:r>
      <w:r>
        <w:t xml:space="preserve"> Mathematische Methode zur Prüfung der Vorteilhaftigkeit einer Investition. Ermöglicht eine objektive Analyse von Anschaffungen.</w:t>
      </w:r>
    </w:p>
    <w:p w14:paraId="6FE406ED" w14:textId="19EA9980" w:rsidR="007903FE" w:rsidRDefault="007903FE" w:rsidP="007903FE"/>
    <w:p w14:paraId="580F9073" w14:textId="10AD8A2A" w:rsidR="007903FE" w:rsidRDefault="007903FE" w:rsidP="007903FE">
      <w:r>
        <w:t>Statische Methoden: Rechnen mit Durchschnittswerten. Keine Unterschiede im zeitlichen Anfall der Kosten. Verwenden Kosten- und Erlösrechnung.</w:t>
      </w:r>
    </w:p>
    <w:p w14:paraId="63054629" w14:textId="3B2C2AFD" w:rsidR="007903FE" w:rsidRPr="007903FE" w:rsidRDefault="007903FE" w:rsidP="007903FE">
      <w:r>
        <w:t>Dynamische Methode: zeitlicher Anfall der Ein und Auszahlungen wird berücksichtigt.</w:t>
      </w:r>
    </w:p>
    <w:p w14:paraId="44828AA1" w14:textId="1569D8C4" w:rsidR="006F350B" w:rsidRPr="006F350B" w:rsidRDefault="006F350B" w:rsidP="00434738">
      <w:pPr>
        <w:pStyle w:val="berschrift2"/>
        <w:numPr>
          <w:ilvl w:val="0"/>
          <w:numId w:val="29"/>
        </w:numPr>
        <w:rPr>
          <w:color w:val="C00000"/>
        </w:rPr>
      </w:pPr>
      <w:r w:rsidRPr="00713109">
        <w:rPr>
          <w:color w:val="C00000"/>
          <w:highlight w:val="yellow"/>
        </w:rPr>
        <w:t>Statisches</w:t>
      </w:r>
      <w:r w:rsidRPr="006F350B">
        <w:rPr>
          <w:color w:val="C00000"/>
        </w:rPr>
        <w:t xml:space="preserve"> </w:t>
      </w:r>
      <w:r w:rsidRPr="00713109">
        <w:rPr>
          <w:color w:val="C00000"/>
          <w:highlight w:val="yellow"/>
        </w:rPr>
        <w:t>Verfahren</w:t>
      </w:r>
    </w:p>
    <w:p w14:paraId="12C88DED" w14:textId="3A2CAF1E" w:rsidR="006F350B" w:rsidRDefault="007903FE" w:rsidP="006F350B">
      <w:r>
        <w:t>Wegen Durchschnittswerten nicht</w:t>
      </w:r>
      <w:r w:rsidR="009F1F2A">
        <w:t xml:space="preserve"> für langfristige Betrachtung optimal. </w:t>
      </w:r>
    </w:p>
    <w:p w14:paraId="5F46E07F" w14:textId="75EC42B5" w:rsidR="009F1F2A" w:rsidRPr="00713109" w:rsidRDefault="00694F16" w:rsidP="00694F16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713109">
        <w:rPr>
          <w:b/>
          <w:highlight w:val="yellow"/>
        </w:rPr>
        <w:t>Kostenvergleichsrechnung</w:t>
      </w:r>
    </w:p>
    <w:p w14:paraId="03C7FF96" w14:textId="18A36384" w:rsidR="00694F16" w:rsidRDefault="00694F16" w:rsidP="00C21E68">
      <w:pPr>
        <w:pStyle w:val="Listenabsatz"/>
        <w:ind w:left="0"/>
      </w:pPr>
      <w:r>
        <w:t>Zwei Investitionsobjekte werden hinsichtlich ihrer Kosten verglichen.</w:t>
      </w:r>
    </w:p>
    <w:p w14:paraId="4F2D80D1" w14:textId="3D093DD5" w:rsidR="00694F16" w:rsidRDefault="00694F16" w:rsidP="00C21E68">
      <w:pPr>
        <w:pStyle w:val="Listenabsatz"/>
        <w:ind w:left="0"/>
      </w:pPr>
      <w:r>
        <w:t>Es werden keine Erlöse oder Gewinne berücksichtigt.</w:t>
      </w:r>
    </w:p>
    <w:p w14:paraId="2695E993" w14:textId="1FAED44B" w:rsidR="00694F16" w:rsidRDefault="00694F16" w:rsidP="00C21E68">
      <w:pPr>
        <w:pStyle w:val="Listenabsatz"/>
        <w:ind w:left="0"/>
      </w:pPr>
      <w:r>
        <w:t>Zu berücksichtigende Kosten: Betriebskosten (variable Kosten) &amp; kapitalkosten (fixe Kosten)</w:t>
      </w:r>
    </w:p>
    <w:p w14:paraId="1112FB65" w14:textId="17D71787" w:rsidR="00694F16" w:rsidRDefault="00694F16" w:rsidP="00C21E68">
      <w:pPr>
        <w:pStyle w:val="Listenabsatz"/>
        <w:ind w:left="0"/>
      </w:pPr>
    </w:p>
    <w:p w14:paraId="31AE41F4" w14:textId="2EFC8E85" w:rsidR="00CE11EB" w:rsidRDefault="00CE11EB" w:rsidP="00C21E68">
      <w:pPr>
        <w:pStyle w:val="Listenabsatz"/>
        <w:ind w:left="0"/>
      </w:pPr>
      <w:r>
        <w:rPr>
          <w:noProof/>
        </w:rPr>
        <w:drawing>
          <wp:inline distT="0" distB="0" distL="0" distR="0" wp14:anchorId="19CFC12E" wp14:editId="77BC1AC1">
            <wp:extent cx="5760720" cy="2164080"/>
            <wp:effectExtent l="0" t="0" r="0" b="762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47D4" w14:textId="0C51DEF4" w:rsidR="00924458" w:rsidRDefault="00924458" w:rsidP="00C21E68">
      <w:pPr>
        <w:pStyle w:val="Listenabsatz"/>
        <w:ind w:left="0"/>
      </w:pPr>
      <w:r>
        <w:t xml:space="preserve">Kosten pro </w:t>
      </w:r>
      <w:proofErr w:type="gramStart"/>
      <w:r>
        <w:t>Periode</w:t>
      </w:r>
      <w:proofErr w:type="gramEnd"/>
      <w:r>
        <w:t xml:space="preserve"> </w:t>
      </w:r>
      <w:r>
        <w:sym w:font="Wingdings" w:char="F0E0"/>
      </w:r>
      <w:r>
        <w:t xml:space="preserve"> Wenn die genutzte Leistung gleich ist.</w:t>
      </w:r>
    </w:p>
    <w:p w14:paraId="3BE2DC8E" w14:textId="77777777" w:rsidR="00B62A46" w:rsidRDefault="00B62A46" w:rsidP="00C21E68">
      <w:pPr>
        <w:pStyle w:val="Listenabsatz"/>
        <w:ind w:left="0"/>
      </w:pPr>
    </w:p>
    <w:p w14:paraId="5BA7967A" w14:textId="424020F3" w:rsidR="00CE2C5F" w:rsidRDefault="00CE2C5F" w:rsidP="005D0EAC">
      <w:pPr>
        <w:pStyle w:val="Listenabsatz"/>
        <w:numPr>
          <w:ilvl w:val="1"/>
          <w:numId w:val="33"/>
        </w:numPr>
      </w:pPr>
      <w:r>
        <w:t>Bei bekannter Auslastung</w:t>
      </w:r>
    </w:p>
    <w:p w14:paraId="313CEB9C" w14:textId="3AE89D7F" w:rsidR="00CE2C5F" w:rsidRDefault="00CE2C5F" w:rsidP="005D0EAC">
      <w:pPr>
        <w:pStyle w:val="Listenabsatz"/>
        <w:ind w:left="0"/>
      </w:pPr>
      <w:r>
        <w:t>Wenn die Auslastung bekannt ist.</w:t>
      </w:r>
    </w:p>
    <w:p w14:paraId="53CF1E5F" w14:textId="4BCCF4C8" w:rsidR="00924458" w:rsidRDefault="00924458" w:rsidP="00C21E68">
      <w:pPr>
        <w:pStyle w:val="Listenabsatz"/>
        <w:ind w:left="0"/>
      </w:pPr>
    </w:p>
    <w:p w14:paraId="10D7876F" w14:textId="5D681837" w:rsidR="00924458" w:rsidRDefault="00924458" w:rsidP="00C21E68">
      <w:pPr>
        <w:pStyle w:val="Listenabsatz"/>
        <w:ind w:left="0"/>
      </w:pPr>
      <w:r>
        <w:t>Bsp.: Kosten pro Periode</w:t>
      </w:r>
    </w:p>
    <w:p w14:paraId="0B02F736" w14:textId="73C8FEF2" w:rsidR="00924458" w:rsidRDefault="00924458" w:rsidP="00C21E68">
      <w:pPr>
        <w:pStyle w:val="Listenabsatz"/>
        <w:ind w:left="0"/>
      </w:pPr>
      <w:r>
        <w:rPr>
          <w:noProof/>
        </w:rPr>
        <w:drawing>
          <wp:inline distT="0" distB="0" distL="0" distR="0" wp14:anchorId="485DFA18" wp14:editId="01C3EACE">
            <wp:extent cx="5760720" cy="2630170"/>
            <wp:effectExtent l="0" t="0" r="0" b="0"/>
            <wp:docPr id="25" name="Grafik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6895" w14:textId="77777777" w:rsidR="00924458" w:rsidRDefault="00924458" w:rsidP="00C21E68">
      <w:pPr>
        <w:pStyle w:val="Listenabsatz"/>
        <w:ind w:left="0"/>
      </w:pPr>
    </w:p>
    <w:p w14:paraId="00E9B4AE" w14:textId="02267E89" w:rsidR="00924458" w:rsidRDefault="00924458" w:rsidP="00C21E68">
      <w:pPr>
        <w:pStyle w:val="Listenabsatz"/>
        <w:ind w:left="0"/>
      </w:pPr>
    </w:p>
    <w:p w14:paraId="27C5E8F8" w14:textId="77777777" w:rsidR="005D0EAC" w:rsidRDefault="005D0EAC" w:rsidP="00C21E68">
      <w:pPr>
        <w:pStyle w:val="Listenabsatz"/>
        <w:ind w:left="0"/>
      </w:pPr>
    </w:p>
    <w:p w14:paraId="19D0FDF3" w14:textId="0BBB33FB" w:rsidR="00924458" w:rsidRDefault="00924458" w:rsidP="00C21E68">
      <w:pPr>
        <w:pStyle w:val="Listenabsatz"/>
        <w:ind w:left="0"/>
      </w:pPr>
      <w:r>
        <w:lastRenderedPageBreak/>
        <w:t>Bsp.: Kosten pro Leistungseinheit</w:t>
      </w:r>
    </w:p>
    <w:p w14:paraId="0B5BE0FB" w14:textId="5E11A9F3" w:rsidR="00924458" w:rsidRDefault="00924458" w:rsidP="00C21E68">
      <w:pPr>
        <w:pStyle w:val="Listenabsatz"/>
        <w:ind w:left="0"/>
      </w:pPr>
      <w:r>
        <w:rPr>
          <w:noProof/>
        </w:rPr>
        <w:drawing>
          <wp:inline distT="0" distB="0" distL="0" distR="0" wp14:anchorId="66A34FC1" wp14:editId="605B5E77">
            <wp:extent cx="5760720" cy="2875915"/>
            <wp:effectExtent l="0" t="0" r="0" b="635"/>
            <wp:docPr id="26" name="Grafik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E8D" w14:textId="77777777" w:rsidR="00924458" w:rsidRDefault="00924458" w:rsidP="00924458"/>
    <w:p w14:paraId="11CFE9DB" w14:textId="78871DDC" w:rsidR="00924458" w:rsidRDefault="00924458" w:rsidP="00924458">
      <w:pPr>
        <w:pStyle w:val="Listenabsatz"/>
        <w:numPr>
          <w:ilvl w:val="1"/>
          <w:numId w:val="33"/>
        </w:numPr>
      </w:pPr>
      <w:r>
        <w:t>Kostenvergleich bei unbekannter Auslastung:</w:t>
      </w:r>
    </w:p>
    <w:p w14:paraId="5C7517A9" w14:textId="39760404" w:rsidR="005D2CE4" w:rsidRDefault="005D2CE4" w:rsidP="005D0EAC">
      <w:pPr>
        <w:pStyle w:val="Listenabsatz"/>
        <w:ind w:left="0"/>
      </w:pPr>
      <w:r>
        <w:t>Man muss herausfinden, welches Objekt wann Kostengünstiger ist. Es wird die Kritische Menge berechnet.</w:t>
      </w:r>
    </w:p>
    <w:p w14:paraId="7F84DBD3" w14:textId="1C5EB25E" w:rsidR="005D2CE4" w:rsidRDefault="005D2CE4" w:rsidP="005D0EAC">
      <w:pPr>
        <w:pStyle w:val="Listenabsatz"/>
        <w:ind w:left="0"/>
      </w:pPr>
      <w:r>
        <w:rPr>
          <w:noProof/>
        </w:rPr>
        <w:drawing>
          <wp:inline distT="0" distB="0" distL="0" distR="0" wp14:anchorId="3F8C4FD8" wp14:editId="04DFE4F1">
            <wp:extent cx="4838700" cy="800100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831" w14:textId="5951AFAB" w:rsidR="005D2CE4" w:rsidRDefault="005D2CE4" w:rsidP="005D2CE4">
      <w:pPr>
        <w:pStyle w:val="Listenabsatz"/>
        <w:ind w:left="644"/>
      </w:pPr>
    </w:p>
    <w:p w14:paraId="2DCD0B63" w14:textId="6AE37B0F" w:rsidR="005D2CE4" w:rsidRDefault="005D2CE4" w:rsidP="00C21E68">
      <w:pPr>
        <w:pStyle w:val="Listenabsatz"/>
        <w:ind w:left="0"/>
        <w:rPr>
          <w:noProof/>
        </w:rPr>
      </w:pPr>
      <w:r>
        <w:t>Bsp.:</w:t>
      </w:r>
      <w:r w:rsidRPr="005D2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FA933" wp14:editId="0C7AD32F">
            <wp:extent cx="5610225" cy="2943225"/>
            <wp:effectExtent l="0" t="0" r="9525" b="9525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EECD" w14:textId="358CB6D8" w:rsidR="002C7BB4" w:rsidRDefault="002C7BB4" w:rsidP="00C21E68">
      <w:pPr>
        <w:pStyle w:val="Listenabsatz"/>
        <w:ind w:left="0"/>
        <w:rPr>
          <w:noProof/>
        </w:rPr>
      </w:pPr>
      <w:r>
        <w:rPr>
          <w:noProof/>
        </w:rPr>
        <w:t xml:space="preserve">Liegt die Auslastung über der kritischen Menge </w:t>
      </w:r>
      <w:r>
        <w:rPr>
          <w:noProof/>
        </w:rPr>
        <w:sym w:font="Wingdings" w:char="F0E0"/>
      </w:r>
      <w:r>
        <w:rPr>
          <w:noProof/>
        </w:rPr>
        <w:t xml:space="preserve"> B, ansonsten A</w:t>
      </w:r>
    </w:p>
    <w:p w14:paraId="724F4AC4" w14:textId="66F43A49" w:rsidR="002C7BB4" w:rsidRDefault="002C7BB4" w:rsidP="005D2CE4">
      <w:pPr>
        <w:pStyle w:val="Listenabsatz"/>
        <w:ind w:left="644"/>
        <w:rPr>
          <w:noProof/>
        </w:rPr>
      </w:pPr>
    </w:p>
    <w:p w14:paraId="426CF0BD" w14:textId="09D1E53C" w:rsidR="002C7BB4" w:rsidRDefault="002C7BB4" w:rsidP="002C7BB4">
      <w:pPr>
        <w:pStyle w:val="Listenabsatz"/>
        <w:numPr>
          <w:ilvl w:val="1"/>
          <w:numId w:val="33"/>
        </w:numPr>
      </w:pPr>
      <w:r>
        <w:t>Kostenvergleich bei Ersatz</w:t>
      </w:r>
    </w:p>
    <w:p w14:paraId="5453E797" w14:textId="726E7500" w:rsidR="002C7BB4" w:rsidRDefault="00730B35" w:rsidP="005D0EAC">
      <w:pPr>
        <w:pStyle w:val="Listenabsatz"/>
        <w:ind w:left="0"/>
      </w:pPr>
      <w:r>
        <w:t>Entscheiden ob der Einsatz der Alt oder Neuanlage sinnvoller ist.</w:t>
      </w:r>
    </w:p>
    <w:p w14:paraId="3FA094B9" w14:textId="0E76406C" w:rsidR="00730B35" w:rsidRDefault="00730B35" w:rsidP="00C21E68">
      <w:pPr>
        <w:pStyle w:val="Listenabsatz"/>
        <w:ind w:left="284"/>
      </w:pPr>
    </w:p>
    <w:p w14:paraId="5603324F" w14:textId="77777777" w:rsidR="005D0EAC" w:rsidRDefault="005D0EAC" w:rsidP="00C21E68">
      <w:pPr>
        <w:pStyle w:val="Listenabsatz"/>
        <w:ind w:left="284"/>
      </w:pPr>
    </w:p>
    <w:p w14:paraId="4F60B4E8" w14:textId="77777777" w:rsidR="005D0EAC" w:rsidRDefault="005D0EAC" w:rsidP="00C21E68">
      <w:pPr>
        <w:pStyle w:val="Listenabsatz"/>
        <w:ind w:left="284"/>
      </w:pPr>
    </w:p>
    <w:p w14:paraId="69922016" w14:textId="53ADD8BD" w:rsidR="00730B35" w:rsidRDefault="00730B35" w:rsidP="005D0EAC">
      <w:pPr>
        <w:pStyle w:val="Listenabsatz"/>
        <w:ind w:left="0"/>
      </w:pPr>
      <w:r>
        <w:t>Bsp.:</w:t>
      </w:r>
    </w:p>
    <w:p w14:paraId="54E015D1" w14:textId="77777777" w:rsidR="00730B35" w:rsidRDefault="00730B35" w:rsidP="005D0EAC">
      <w:pPr>
        <w:shd w:val="clear" w:color="auto" w:fill="FFFFFF" w:themeFill="background1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Nehmen Sie an, der Normalkopierer ist bereits seit drei Jahren im Unternehmen. Zur Diskussion steht, ob der Normalkopierer in dieser Periode durch den Digitalkopierer ersetzt werden soll. </w:t>
      </w:r>
    </w:p>
    <w:p w14:paraId="33B1E831" w14:textId="77777777" w:rsidR="00730B35" w:rsidRDefault="00730B35" w:rsidP="005D0EA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Der alte Normalkopierer könnte sofort um $7800,- (=Restwert diese Periode), im nächsten Jahr jedoch nur mehr um $3200,- (=Restwert nächste Periode) verkauft werden.</w:t>
      </w:r>
    </w:p>
    <w:p w14:paraId="6CC0A5CF" w14:textId="5DD12540" w:rsidR="00730B35" w:rsidRDefault="00730B35" w:rsidP="005D0EAC">
      <w:pPr>
        <w:pStyle w:val="Listenabsatz"/>
        <w:ind w:left="0"/>
      </w:pPr>
      <w:r>
        <w:rPr>
          <w:noProof/>
        </w:rPr>
        <w:drawing>
          <wp:inline distT="0" distB="0" distL="0" distR="0" wp14:anchorId="472474A3" wp14:editId="13A937DF">
            <wp:extent cx="5760720" cy="1846580"/>
            <wp:effectExtent l="0" t="0" r="0" b="1270"/>
            <wp:docPr id="24" name="Grafik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DC7" w14:textId="3D5841FC" w:rsidR="00730B35" w:rsidRDefault="00730B35" w:rsidP="002C7BB4">
      <w:pPr>
        <w:pStyle w:val="Listenabsatz"/>
        <w:ind w:left="644"/>
      </w:pPr>
    </w:p>
    <w:p w14:paraId="7DE83776" w14:textId="2720D7CC" w:rsidR="00730B35" w:rsidRPr="00616BE4" w:rsidRDefault="00730B35" w:rsidP="00730B35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616BE4">
        <w:rPr>
          <w:b/>
          <w:highlight w:val="yellow"/>
        </w:rPr>
        <w:t>Gewinnvergleichsrechnung</w:t>
      </w:r>
    </w:p>
    <w:p w14:paraId="44EC9BB3" w14:textId="75963D7F" w:rsidR="00924458" w:rsidRDefault="004743CE" w:rsidP="00C21E68">
      <w:pPr>
        <w:pStyle w:val="Listenabsatz"/>
        <w:ind w:left="0"/>
      </w:pPr>
      <w:r>
        <w:t>Erweiterung der Kostenvergleichsrechnung</w:t>
      </w:r>
    </w:p>
    <w:p w14:paraId="0BF8EAD9" w14:textId="0C557FEC" w:rsidR="004743CE" w:rsidRDefault="004743CE" w:rsidP="00C21E68">
      <w:pPr>
        <w:pStyle w:val="Listenabsatz"/>
        <w:ind w:left="0"/>
      </w:pPr>
      <w:r>
        <w:t>Vergleicht den Gewinn der Investition. Jährliche Erlöse und Kosten müssen ermittelt werden.</w:t>
      </w:r>
    </w:p>
    <w:p w14:paraId="3A6948F7" w14:textId="59196830" w:rsidR="004743CE" w:rsidRDefault="004743CE" w:rsidP="004A75B7">
      <w:pPr>
        <w:pStyle w:val="Untertitel"/>
      </w:pPr>
      <w:r>
        <w:t xml:space="preserve">Grundlegende Formel: </w:t>
      </w:r>
    </w:p>
    <w:p w14:paraId="3EBED154" w14:textId="20747993" w:rsidR="004A75B7" w:rsidRPr="004A75B7" w:rsidRDefault="004A75B7" w:rsidP="004A75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Gewinn=Erlöse-Kosten</m:t>
          </m:r>
        </m:oMath>
      </m:oMathPara>
    </w:p>
    <w:p w14:paraId="2F68B3C7" w14:textId="78DAF271" w:rsidR="004A75B7" w:rsidRPr="004A75B7" w:rsidRDefault="004A75B7" w:rsidP="004A75B7">
      <m:oMathPara>
        <m:oMathParaPr>
          <m:jc m:val="left"/>
        </m:oMathParaPr>
        <m:oMath>
          <m:r>
            <w:rPr>
              <w:rFonts w:ascii="Cambria Math" w:hAnsi="Cambria Math"/>
            </w:rPr>
            <m:t>Erlöse=Verkaufspreis*Absatzmenge</m:t>
          </m:r>
        </m:oMath>
      </m:oMathPara>
    </w:p>
    <w:p w14:paraId="4786EC93" w14:textId="1A00EF80" w:rsidR="004A75B7" w:rsidRDefault="004A75B7">
      <w:pPr>
        <w:spacing w:after="160" w:line="259" w:lineRule="auto"/>
      </w:pPr>
    </w:p>
    <w:p w14:paraId="5384E16B" w14:textId="192BFC9E" w:rsidR="0064100C" w:rsidRPr="00616BE4" w:rsidRDefault="0064100C" w:rsidP="0064100C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616BE4">
        <w:rPr>
          <w:b/>
          <w:highlight w:val="yellow"/>
        </w:rPr>
        <w:t>Rentabilitätsrechnung</w:t>
      </w:r>
    </w:p>
    <w:p w14:paraId="4E98D417" w14:textId="1B323F01" w:rsidR="0064100C" w:rsidRDefault="00CC7211" w:rsidP="004A75B7">
      <w:pPr>
        <w:pStyle w:val="Listenabsatz"/>
        <w:ind w:left="0"/>
      </w:pPr>
      <w:r>
        <w:t xml:space="preserve">Erweiterung der Gewinnvergleichsrechnung. Durchschnittlicher Gewinn im Vergleich mit durchschnittlich eingesetztem Kapital. </w:t>
      </w:r>
    </w:p>
    <w:p w14:paraId="71A7B75E" w14:textId="555807F9" w:rsidR="00CC7211" w:rsidRDefault="00CC7211" w:rsidP="004A75B7">
      <w:pPr>
        <w:pStyle w:val="Listenabsatz"/>
        <w:ind w:left="0"/>
      </w:pPr>
      <w:r>
        <w:rPr>
          <w:noProof/>
        </w:rPr>
        <w:drawing>
          <wp:inline distT="0" distB="0" distL="0" distR="0" wp14:anchorId="2B66F790" wp14:editId="2834288E">
            <wp:extent cx="4829175" cy="981075"/>
            <wp:effectExtent l="0" t="0" r="9525" b="9525"/>
            <wp:docPr id="9" name="Grafi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0B0" w14:textId="77777777" w:rsidR="001A1AD4" w:rsidRDefault="001A1AD4" w:rsidP="0064100C">
      <w:pPr>
        <w:pStyle w:val="Listenabsatz"/>
        <w:ind w:left="360"/>
      </w:pPr>
    </w:p>
    <w:p w14:paraId="088A75EA" w14:textId="6DFF6135" w:rsidR="001A1AD4" w:rsidRPr="004A75B7" w:rsidRDefault="001A1AD4" w:rsidP="001A1AD4">
      <w:pPr>
        <w:pStyle w:val="Listenabsatz"/>
        <w:numPr>
          <w:ilvl w:val="0"/>
          <w:numId w:val="33"/>
        </w:numPr>
        <w:rPr>
          <w:b/>
        </w:rPr>
      </w:pPr>
      <w:r w:rsidRPr="004A75B7">
        <w:rPr>
          <w:b/>
        </w:rPr>
        <w:t xml:space="preserve">Die statische </w:t>
      </w:r>
      <w:r w:rsidRPr="00616BE4">
        <w:rPr>
          <w:b/>
          <w:highlight w:val="yellow"/>
        </w:rPr>
        <w:t>Amortisationsrechnung</w:t>
      </w:r>
    </w:p>
    <w:p w14:paraId="79413340" w14:textId="664FD6A1" w:rsidR="001A1AD4" w:rsidRDefault="00D46BEE" w:rsidP="004A75B7">
      <w:pPr>
        <w:pStyle w:val="Listenabsatz"/>
        <w:ind w:left="0"/>
      </w:pPr>
      <w:r>
        <w:t>Es wird der Zeitraum berechnet, in dem das investierte Kapital über die Umsätze wieder in das Unternehmen zurückfließt.</w:t>
      </w:r>
    </w:p>
    <w:p w14:paraId="1FE9D09C" w14:textId="67F4A1BF" w:rsidR="00D46BEE" w:rsidRDefault="00D46BEE" w:rsidP="004A75B7">
      <w:pPr>
        <w:pStyle w:val="Listenabsatz"/>
        <w:ind w:left="0"/>
      </w:pPr>
    </w:p>
    <w:p w14:paraId="2EEE1B9E" w14:textId="2B46A023" w:rsidR="00D46BEE" w:rsidRDefault="00D46BEE" w:rsidP="004A75B7">
      <w:pPr>
        <w:pStyle w:val="Listenabsatz"/>
        <w:ind w:left="0"/>
      </w:pPr>
      <w:r>
        <w:rPr>
          <w:noProof/>
        </w:rPr>
        <w:drawing>
          <wp:inline distT="0" distB="0" distL="0" distR="0" wp14:anchorId="590236A9" wp14:editId="44F7E5E8">
            <wp:extent cx="3390900" cy="480060"/>
            <wp:effectExtent l="0" t="0" r="0" b="0"/>
            <wp:docPr id="14" name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85E" w14:textId="085FE91E" w:rsidR="005E7E93" w:rsidRPr="0064100C" w:rsidRDefault="005E7E93" w:rsidP="004A75B7">
      <w:pPr>
        <w:pStyle w:val="Listenabsatz"/>
        <w:ind w:left="0"/>
      </w:pPr>
      <w:r>
        <w:t>Der Jahresrückflu</w:t>
      </w:r>
      <w:r w:rsidR="00750673">
        <w:t>ss</w:t>
      </w:r>
      <w:r>
        <w:t xml:space="preserve"> ist die Summe der zusätzlichen Gewinne der Investition und der Abschreibung.</w:t>
      </w:r>
    </w:p>
    <w:p w14:paraId="35D47E29" w14:textId="77777777" w:rsidR="00750673" w:rsidRPr="00750673" w:rsidRDefault="00750673" w:rsidP="00924458">
      <w:pPr>
        <w:pStyle w:val="Listenabsatz"/>
        <w:ind w:left="360"/>
      </w:pPr>
    </w:p>
    <w:p w14:paraId="1D58CCA0" w14:textId="77777777" w:rsidR="005D0EAC" w:rsidRDefault="005D0EAC">
      <w:pPr>
        <w:spacing w:after="160" w:line="259" w:lineRule="auto"/>
        <w:rPr>
          <w:rFonts w:asciiTheme="majorHAnsi" w:eastAsiaTheme="majorEastAsia" w:hAnsiTheme="majorHAnsi" w:cstheme="majorBidi"/>
          <w:color w:val="C00000"/>
          <w:sz w:val="26"/>
          <w:szCs w:val="26"/>
        </w:rPr>
      </w:pPr>
      <w:r>
        <w:rPr>
          <w:color w:val="C00000"/>
        </w:rPr>
        <w:br w:type="page"/>
      </w:r>
    </w:p>
    <w:p w14:paraId="32F97E96" w14:textId="30F0B4E7" w:rsidR="006F350B" w:rsidRDefault="006F350B" w:rsidP="00434738">
      <w:pPr>
        <w:pStyle w:val="berschrift2"/>
        <w:numPr>
          <w:ilvl w:val="0"/>
          <w:numId w:val="29"/>
        </w:numPr>
        <w:rPr>
          <w:color w:val="C00000"/>
        </w:rPr>
      </w:pPr>
      <w:r>
        <w:rPr>
          <w:color w:val="C00000"/>
        </w:rPr>
        <w:lastRenderedPageBreak/>
        <w:t>Beurteilung der statischen Verfahren</w:t>
      </w:r>
    </w:p>
    <w:p w14:paraId="6A5B098F" w14:textId="37FB9799" w:rsidR="00750673" w:rsidRPr="00616BE4" w:rsidRDefault="00750673" w:rsidP="00750673">
      <w:pPr>
        <w:pStyle w:val="Listenabsatz"/>
        <w:numPr>
          <w:ilvl w:val="0"/>
          <w:numId w:val="33"/>
        </w:numPr>
        <w:rPr>
          <w:b/>
        </w:rPr>
      </w:pPr>
      <w:r w:rsidRPr="00616BE4">
        <w:rPr>
          <w:b/>
        </w:rPr>
        <w:t>Kostenvergleichsrechnung</w:t>
      </w:r>
    </w:p>
    <w:p w14:paraId="49F3887F" w14:textId="0D7E1CC7" w:rsidR="00750673" w:rsidRDefault="00750673" w:rsidP="004A75B7">
      <w:pPr>
        <w:pStyle w:val="Listenabsatz"/>
        <w:ind w:left="0"/>
      </w:pPr>
      <w:r>
        <w:t xml:space="preserve">Einfach anzuwenden, auch bei ungleicher Auslastung. </w:t>
      </w:r>
    </w:p>
    <w:p w14:paraId="3A22A734" w14:textId="77F47BC4" w:rsidR="00750673" w:rsidRDefault="00750673" w:rsidP="004A75B7">
      <w:pPr>
        <w:pStyle w:val="Listenabsatz"/>
        <w:ind w:left="0"/>
      </w:pPr>
      <w:r>
        <w:t>Es werden Erträge nicht mit einbezogen, Datenermittlung ist aufwendig, Bezieht sich nur auf ein Jahr</w:t>
      </w:r>
    </w:p>
    <w:p w14:paraId="793CFD18" w14:textId="33C67B54" w:rsidR="00750673" w:rsidRDefault="00750673" w:rsidP="00750673">
      <w:pPr>
        <w:pStyle w:val="Listenabsatz"/>
        <w:ind w:left="360"/>
      </w:pPr>
    </w:p>
    <w:p w14:paraId="607617DC" w14:textId="3B2154AB" w:rsidR="00750673" w:rsidRPr="00616BE4" w:rsidRDefault="00750673" w:rsidP="00750673">
      <w:pPr>
        <w:pStyle w:val="Listenabsatz"/>
        <w:numPr>
          <w:ilvl w:val="0"/>
          <w:numId w:val="33"/>
        </w:numPr>
        <w:rPr>
          <w:b/>
        </w:rPr>
      </w:pPr>
      <w:r w:rsidRPr="00616BE4">
        <w:rPr>
          <w:b/>
        </w:rPr>
        <w:t>Gewinnvergleichsrechnung</w:t>
      </w:r>
    </w:p>
    <w:p w14:paraId="08B9EA2F" w14:textId="68AFE5CD" w:rsidR="00750673" w:rsidRDefault="00750673" w:rsidP="004A75B7">
      <w:pPr>
        <w:pStyle w:val="Listenabsatz"/>
        <w:ind w:left="0"/>
      </w:pPr>
      <w:r>
        <w:t>Einfache Anwendung, Auch bei ungleicher Auslastung anwendbar, Erträge werden berücksichtigt</w:t>
      </w:r>
    </w:p>
    <w:p w14:paraId="3F0FE661" w14:textId="7B75684F" w:rsidR="00750673" w:rsidRDefault="00750673" w:rsidP="004A75B7">
      <w:pPr>
        <w:pStyle w:val="Listenabsatz"/>
        <w:ind w:left="0"/>
      </w:pPr>
      <w:r>
        <w:t>Nur auf ein Jahr, Kapitaleinsatz wird nicht berücksichtigt, Erträge nur schwer ermittelbar</w:t>
      </w:r>
    </w:p>
    <w:p w14:paraId="622F97DB" w14:textId="56E1A1D2" w:rsidR="00750673" w:rsidRDefault="00750673" w:rsidP="00750673">
      <w:pPr>
        <w:pStyle w:val="Listenabsatz"/>
        <w:ind w:left="360"/>
      </w:pPr>
    </w:p>
    <w:p w14:paraId="2909D965" w14:textId="3A0CBBA2" w:rsidR="00750673" w:rsidRPr="00616BE4" w:rsidRDefault="00750673" w:rsidP="00750673">
      <w:pPr>
        <w:pStyle w:val="Listenabsatz"/>
        <w:numPr>
          <w:ilvl w:val="0"/>
          <w:numId w:val="33"/>
        </w:numPr>
        <w:rPr>
          <w:b/>
        </w:rPr>
      </w:pPr>
      <w:r w:rsidRPr="00616BE4">
        <w:rPr>
          <w:b/>
        </w:rPr>
        <w:t>Rentabilitätsvergleichsrechnung</w:t>
      </w:r>
    </w:p>
    <w:p w14:paraId="08081B52" w14:textId="0D80ED08" w:rsidR="00750673" w:rsidRDefault="00750673" w:rsidP="004A75B7">
      <w:pPr>
        <w:pStyle w:val="Listenabsatz"/>
        <w:ind w:left="0"/>
      </w:pPr>
      <w:r>
        <w:t xml:space="preserve">Größere </w:t>
      </w:r>
      <w:r w:rsidRPr="00713109">
        <w:t>Aussagefähigkeit</w:t>
      </w:r>
      <w:r>
        <w:t xml:space="preserve">, Vergleich von Investitionen mit unterschiedlichen Anschaffungskosten und Nutzungsdauern </w:t>
      </w:r>
      <w:r w:rsidR="00CE26C4">
        <w:t>möglich</w:t>
      </w:r>
    </w:p>
    <w:p w14:paraId="2611F5CB" w14:textId="3F5F577E" w:rsidR="00CE26C4" w:rsidRDefault="00CE26C4" w:rsidP="004A75B7">
      <w:pPr>
        <w:pStyle w:val="Listenabsatz"/>
        <w:ind w:left="0"/>
      </w:pPr>
      <w:r>
        <w:t>Gleiche Nachteile wie Gewinnvergleichsrechnung</w:t>
      </w:r>
    </w:p>
    <w:p w14:paraId="47AC52CA" w14:textId="38F0FD4E" w:rsidR="00CE26C4" w:rsidRDefault="00CE26C4" w:rsidP="00750673">
      <w:pPr>
        <w:pStyle w:val="Listenabsatz"/>
        <w:ind w:left="360"/>
      </w:pPr>
    </w:p>
    <w:p w14:paraId="10325EB9" w14:textId="410387D1" w:rsidR="00CE26C4" w:rsidRPr="00616BE4" w:rsidRDefault="00CE26C4" w:rsidP="00CE26C4">
      <w:pPr>
        <w:pStyle w:val="Listenabsatz"/>
        <w:numPr>
          <w:ilvl w:val="0"/>
          <w:numId w:val="33"/>
        </w:numPr>
        <w:rPr>
          <w:b/>
        </w:rPr>
      </w:pPr>
      <w:r w:rsidRPr="00616BE4">
        <w:rPr>
          <w:b/>
        </w:rPr>
        <w:t>Amortisationsrechnung</w:t>
      </w:r>
    </w:p>
    <w:p w14:paraId="3F7E3B7C" w14:textId="4D046ED0" w:rsidR="00CE26C4" w:rsidRDefault="00CE26C4" w:rsidP="004A75B7">
      <w:pPr>
        <w:pStyle w:val="Listenabsatz"/>
        <w:ind w:left="0"/>
      </w:pPr>
      <w:r>
        <w:t>Einfach anwendbar, Ermöglicht Verringerung des Risikos</w:t>
      </w:r>
    </w:p>
    <w:p w14:paraId="3E1C04B1" w14:textId="30FC7B2C" w:rsidR="00CE26C4" w:rsidRPr="00750673" w:rsidRDefault="00CE26C4" w:rsidP="004A75B7">
      <w:pPr>
        <w:pStyle w:val="Listenabsatz"/>
        <w:ind w:left="0"/>
      </w:pPr>
      <w:r>
        <w:t>Gibt keine Auskunft über Rentabilität</w:t>
      </w:r>
    </w:p>
    <w:p w14:paraId="1760A826" w14:textId="77777777" w:rsidR="00E75E63" w:rsidRDefault="00E75E63">
      <w:pPr>
        <w:spacing w:after="160" w:line="259" w:lineRule="auto"/>
        <w:rPr>
          <w:color w:val="C00000"/>
        </w:rPr>
      </w:pPr>
    </w:p>
    <w:p w14:paraId="6DE6D0D8" w14:textId="53ACEA49" w:rsidR="006F350B" w:rsidRDefault="006F350B" w:rsidP="00434738">
      <w:pPr>
        <w:pStyle w:val="berschrift2"/>
        <w:numPr>
          <w:ilvl w:val="0"/>
          <w:numId w:val="29"/>
        </w:numPr>
        <w:rPr>
          <w:color w:val="C00000"/>
        </w:rPr>
      </w:pPr>
      <w:r w:rsidRPr="006F350B">
        <w:rPr>
          <w:color w:val="C00000"/>
        </w:rPr>
        <w:t>Dynamische Verfahren</w:t>
      </w:r>
    </w:p>
    <w:p w14:paraId="75D49D7E" w14:textId="7B06F937" w:rsidR="00E603D0" w:rsidRDefault="00383999" w:rsidP="00E603D0">
      <w:r>
        <w:t xml:space="preserve">Sie bezieht den zeitlichen Anfall von </w:t>
      </w:r>
      <w:r w:rsidRPr="00713109">
        <w:rPr>
          <w:highlight w:val="yellow"/>
        </w:rPr>
        <w:t>Ein</w:t>
      </w:r>
      <w:r>
        <w:t xml:space="preserve">- und </w:t>
      </w:r>
      <w:r w:rsidRPr="00713109">
        <w:rPr>
          <w:highlight w:val="yellow"/>
        </w:rPr>
        <w:t>Auszahlungen</w:t>
      </w:r>
      <w:r>
        <w:t xml:space="preserve"> bzw. den </w:t>
      </w:r>
      <w:r w:rsidRPr="00713109">
        <w:rPr>
          <w:highlight w:val="yellow"/>
        </w:rPr>
        <w:t>Zeitwert</w:t>
      </w:r>
      <w:r>
        <w:t xml:space="preserve"> des </w:t>
      </w:r>
      <w:r w:rsidRPr="00713109">
        <w:rPr>
          <w:highlight w:val="yellow"/>
        </w:rPr>
        <w:t>Geldes</w:t>
      </w:r>
      <w:r w:rsidR="0063033F">
        <w:t xml:space="preserve"> (time </w:t>
      </w:r>
      <w:proofErr w:type="spellStart"/>
      <w:r w:rsidR="0063033F">
        <w:t>value</w:t>
      </w:r>
      <w:proofErr w:type="spellEnd"/>
      <w:r w:rsidR="0063033F">
        <w:t xml:space="preserve"> of </w:t>
      </w:r>
      <w:proofErr w:type="spellStart"/>
      <w:r w:rsidR="0063033F">
        <w:t>money</w:t>
      </w:r>
      <w:proofErr w:type="spellEnd"/>
      <w:r w:rsidR="0063033F">
        <w:t>)</w:t>
      </w:r>
      <w:r>
        <w:t xml:space="preserve"> in die Betrachtung ein.</w:t>
      </w:r>
      <w:r w:rsidR="005245A3">
        <w:t xml:space="preserve"> Die </w:t>
      </w:r>
      <w:r w:rsidR="005245A3" w:rsidRPr="00713109">
        <w:t>Berechnung</w:t>
      </w:r>
      <w:r w:rsidR="005245A3">
        <w:t xml:space="preserve"> ist </w:t>
      </w:r>
      <w:r w:rsidR="005245A3" w:rsidRPr="00713109">
        <w:rPr>
          <w:highlight w:val="yellow"/>
        </w:rPr>
        <w:t>aufwendiger</w:t>
      </w:r>
      <w:r w:rsidR="005245A3">
        <w:t>, jedoch aussagekräftiger als die statischen Verfahren</w:t>
      </w:r>
    </w:p>
    <w:p w14:paraId="3031E758" w14:textId="0584E860" w:rsidR="009D75E0" w:rsidRDefault="009D75E0" w:rsidP="00E603D0"/>
    <w:p w14:paraId="6D077ADA" w14:textId="5BA80FBC" w:rsidR="000B5F35" w:rsidRPr="004A75B7" w:rsidRDefault="009D75E0" w:rsidP="000B5F35">
      <w:pPr>
        <w:pStyle w:val="Listenabsatz"/>
        <w:numPr>
          <w:ilvl w:val="0"/>
          <w:numId w:val="33"/>
        </w:numPr>
        <w:rPr>
          <w:b/>
        </w:rPr>
      </w:pPr>
      <w:r w:rsidRPr="00FC5E4D">
        <w:rPr>
          <w:b/>
          <w:highlight w:val="yellow"/>
        </w:rPr>
        <w:t>Kapitalwertmethode</w:t>
      </w:r>
      <w:r w:rsidR="001D2B7F" w:rsidRPr="004A75B7">
        <w:rPr>
          <w:b/>
        </w:rPr>
        <w:t xml:space="preserve"> (Nettobarwertmethode / Diskontierungsmethode)</w:t>
      </w:r>
    </w:p>
    <w:p w14:paraId="6FF4793B" w14:textId="21F4C169" w:rsidR="000B5F35" w:rsidRPr="000B5F35" w:rsidRDefault="000B5F35" w:rsidP="000B5F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Kapitalwert=Barwert der Einzahlung-Barwert der Auszahlung</m:t>
          </m:r>
        </m:oMath>
      </m:oMathPara>
    </w:p>
    <w:p w14:paraId="6078A940" w14:textId="690ADC93" w:rsidR="001E1B69" w:rsidRDefault="001E1B69" w:rsidP="001E1B69">
      <w:r>
        <w:t>Varianten:</w:t>
      </w:r>
    </w:p>
    <w:p w14:paraId="60BCED3C" w14:textId="02463CDE" w:rsidR="001E1B69" w:rsidRDefault="001E1B69" w:rsidP="001E1B69">
      <w:pPr>
        <w:pStyle w:val="Listenabsatz"/>
        <w:numPr>
          <w:ilvl w:val="0"/>
          <w:numId w:val="38"/>
        </w:numPr>
      </w:pPr>
      <w:r>
        <w:t xml:space="preserve">Einzelinvestition </w:t>
      </w:r>
      <w:r>
        <w:sym w:font="Wingdings" w:char="F0E0"/>
      </w:r>
      <w:r>
        <w:t xml:space="preserve"> ist der Kapitalwert positiv, ist die Investition rentabel</w:t>
      </w:r>
    </w:p>
    <w:p w14:paraId="51E0D1ED" w14:textId="33F79D75" w:rsidR="001E1B69" w:rsidRDefault="001E1B69" w:rsidP="001E1B69">
      <w:pPr>
        <w:pStyle w:val="Listenabsatz"/>
        <w:numPr>
          <w:ilvl w:val="0"/>
          <w:numId w:val="38"/>
        </w:numPr>
      </w:pPr>
      <w:r>
        <w:t xml:space="preserve">Alternativinvestition </w:t>
      </w:r>
      <w:r>
        <w:sym w:font="Wingdings" w:char="F0E0"/>
      </w:r>
      <w:r>
        <w:t xml:space="preserve"> Die Investition mit dem höchsten Kapitalwert ist die beste.</w:t>
      </w:r>
    </w:p>
    <w:p w14:paraId="263BF497" w14:textId="2A641FC2" w:rsidR="001E1B69" w:rsidRDefault="001E1B69" w:rsidP="001E1B69">
      <w:pPr>
        <w:pStyle w:val="Listenabsatz"/>
        <w:numPr>
          <w:ilvl w:val="0"/>
          <w:numId w:val="38"/>
        </w:numPr>
      </w:pPr>
      <w:r>
        <w:t xml:space="preserve">Kostenvergleich </w:t>
      </w:r>
      <w:r>
        <w:sym w:font="Wingdings" w:char="F0E0"/>
      </w:r>
      <w:r>
        <w:t xml:space="preserve"> Die Investition mit dem geringsten Barwert der Kosten ist die beste.</w:t>
      </w:r>
    </w:p>
    <w:p w14:paraId="5C43EA40" w14:textId="77777777" w:rsidR="00420D1B" w:rsidRDefault="001D2B7F" w:rsidP="001D2B7F">
      <w:r>
        <w:t>Voraussetzungen</w:t>
      </w:r>
      <w:r w:rsidR="00420D1B">
        <w:t>:</w:t>
      </w:r>
    </w:p>
    <w:p w14:paraId="374C3372" w14:textId="77777777" w:rsidR="00420D1B" w:rsidRDefault="00420D1B" w:rsidP="00420D1B">
      <w:pPr>
        <w:pStyle w:val="Listenabsatz"/>
        <w:numPr>
          <w:ilvl w:val="0"/>
          <w:numId w:val="37"/>
        </w:numPr>
      </w:pPr>
      <w:r>
        <w:t>Zahlungsströme lassen sich dem Investitionsobjekt klar zuordnen</w:t>
      </w:r>
    </w:p>
    <w:p w14:paraId="51185FA1" w14:textId="77777777" w:rsidR="00420D1B" w:rsidRDefault="00420D1B" w:rsidP="00420D1B">
      <w:pPr>
        <w:pStyle w:val="Listenabsatz"/>
        <w:numPr>
          <w:ilvl w:val="0"/>
          <w:numId w:val="37"/>
        </w:numPr>
      </w:pPr>
      <w:r>
        <w:t>Zahlungsströme lassen sich abschätzen</w:t>
      </w:r>
    </w:p>
    <w:p w14:paraId="0C78FBCE" w14:textId="066EABAE" w:rsidR="001D2B7F" w:rsidRDefault="007014BE" w:rsidP="00420D1B">
      <w:pPr>
        <w:pStyle w:val="Listenabsatz"/>
        <w:numPr>
          <w:ilvl w:val="0"/>
          <w:numId w:val="37"/>
        </w:numPr>
      </w:pPr>
      <w:r>
        <w:t xml:space="preserve">Einzahlungsüberschüsse können zum </w:t>
      </w:r>
      <w:r w:rsidR="006E491C" w:rsidRPr="006E491C">
        <w:t xml:space="preserve">Kalkulationszinssatz </w:t>
      </w:r>
      <w:r>
        <w:t>angelegt werden</w:t>
      </w:r>
      <w:r w:rsidR="001D2B7F">
        <w:t xml:space="preserve"> </w:t>
      </w:r>
    </w:p>
    <w:p w14:paraId="3D8F0A06" w14:textId="4AFA4E57" w:rsidR="009D75E0" w:rsidRDefault="00F15DB8" w:rsidP="009D75E0">
      <w:r>
        <w:t xml:space="preserve">Ziel ist </w:t>
      </w:r>
      <w:r w:rsidR="00694EE4">
        <w:t xml:space="preserve">die Ermittlung des Kapitalwertes, </w:t>
      </w:r>
      <w:r w:rsidR="0034793E">
        <w:t>welcher festlegt, ob eine Investition vom Vorteil ist</w:t>
      </w:r>
      <w:r w:rsidR="001443F3">
        <w:t xml:space="preserve"> --</w:t>
      </w:r>
      <w:r w:rsidR="001443F3">
        <w:sym w:font="Wingdings" w:char="F0E0"/>
      </w:r>
      <w:r w:rsidR="001443F3">
        <w:t xml:space="preserve"> Zahlungsströme werden mit </w:t>
      </w:r>
      <w:r w:rsidR="00610EB2">
        <w:t xml:space="preserve">dem Kalkulationszinssatz </w:t>
      </w:r>
      <w:r w:rsidR="00AD21C8">
        <w:t>abgezinst</w:t>
      </w:r>
      <w:r w:rsidR="00610EB2">
        <w:t xml:space="preserve">. </w:t>
      </w:r>
      <w:r w:rsidR="00AF434C">
        <w:t xml:space="preserve">Der Kapitalwert (Barwert / Net </w:t>
      </w:r>
      <w:proofErr w:type="spellStart"/>
      <w:r w:rsidR="00AF434C">
        <w:t>Present</w:t>
      </w:r>
      <w:proofErr w:type="spellEnd"/>
      <w:r w:rsidR="00AF434C">
        <w:t xml:space="preserve"> Value NPV) entspricht dem Wert der Ein- und Ausgaben zum aktuellen Zeitpunkt.</w:t>
      </w:r>
    </w:p>
    <w:p w14:paraId="6DAAE1BB" w14:textId="05D3A59E" w:rsidR="007777FE" w:rsidRDefault="007777FE" w:rsidP="007777FE">
      <w:pPr>
        <w:pStyle w:val="Listenabsatz"/>
        <w:numPr>
          <w:ilvl w:val="0"/>
          <w:numId w:val="37"/>
        </w:numPr>
      </w:pPr>
      <w:r>
        <w:t xml:space="preserve">Kapitalwert &gt; 0 </w:t>
      </w:r>
      <w:r>
        <w:sym w:font="Wingdings" w:char="F0E0"/>
      </w:r>
      <w:r>
        <w:t xml:space="preserve"> Investition lohnt sich</w:t>
      </w:r>
    </w:p>
    <w:p w14:paraId="23856210" w14:textId="4ABD7B74" w:rsidR="007777FE" w:rsidRDefault="007777FE" w:rsidP="007777FE">
      <w:pPr>
        <w:pStyle w:val="Listenabsatz"/>
        <w:numPr>
          <w:ilvl w:val="0"/>
          <w:numId w:val="37"/>
        </w:numPr>
      </w:pPr>
      <w:r>
        <w:t xml:space="preserve">Kapitalwert = 0 </w:t>
      </w:r>
      <w:r>
        <w:sym w:font="Wingdings" w:char="F0E0"/>
      </w:r>
      <w:r>
        <w:t xml:space="preserve"> </w:t>
      </w:r>
      <w:r w:rsidR="00767AF7">
        <w:t xml:space="preserve">Investition </w:t>
      </w:r>
      <w:r w:rsidR="0084489E">
        <w:t xml:space="preserve">erzielt Mindestrendite </w:t>
      </w:r>
    </w:p>
    <w:p w14:paraId="6235FFCF" w14:textId="39C9EB38" w:rsidR="0084489E" w:rsidRDefault="0084489E" w:rsidP="007777FE">
      <w:pPr>
        <w:pStyle w:val="Listenabsatz"/>
        <w:numPr>
          <w:ilvl w:val="0"/>
          <w:numId w:val="37"/>
        </w:numPr>
      </w:pPr>
      <w:r>
        <w:t xml:space="preserve">Kapitalwert &lt; 0 </w:t>
      </w:r>
      <w:r>
        <w:sym w:font="Wingdings" w:char="F0E0"/>
      </w:r>
      <w:r>
        <w:t xml:space="preserve"> </w:t>
      </w:r>
      <w:r w:rsidR="00001467">
        <w:t>Investition ist nicht vorteilhaft</w:t>
      </w:r>
    </w:p>
    <w:p w14:paraId="12518595" w14:textId="77777777" w:rsidR="00886FA5" w:rsidRDefault="00886FA5" w:rsidP="00886FA5">
      <w:pPr>
        <w:pStyle w:val="Listenabsatz"/>
      </w:pPr>
    </w:p>
    <w:p w14:paraId="7DC0941A" w14:textId="77777777" w:rsidR="00E75E63" w:rsidRDefault="00E75E6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E4F7C0" w14:textId="14E7053C" w:rsidR="00785EA9" w:rsidRPr="00886FA5" w:rsidRDefault="00785EA9" w:rsidP="004D1A10">
      <w:pPr>
        <w:rPr>
          <w:rFonts w:eastAsiaTheme="minorEastAsia"/>
        </w:rPr>
      </w:pPr>
      <w:r>
        <w:rPr>
          <w:rFonts w:eastAsiaTheme="minorEastAsia"/>
        </w:rPr>
        <w:lastRenderedPageBreak/>
        <w:t>Bsp.:</w:t>
      </w:r>
    </w:p>
    <w:p w14:paraId="20E94936" w14:textId="59708652" w:rsidR="00886FA5" w:rsidRDefault="00785EA9" w:rsidP="004D1A10">
      <w:r w:rsidRPr="00204E06">
        <w:rPr>
          <w:noProof/>
          <w:sz w:val="24"/>
          <w:szCs w:val="24"/>
          <w:lang w:eastAsia="de-DE"/>
        </w:rPr>
        <w:drawing>
          <wp:inline distT="0" distB="0" distL="0" distR="0" wp14:anchorId="040A5C1B" wp14:editId="2F89AEF5">
            <wp:extent cx="4157331" cy="4056808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455" cy="40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EEA0" w14:textId="769C595E" w:rsidR="000B5F35" w:rsidRPr="00FC5E4D" w:rsidRDefault="000B5F35" w:rsidP="000B5F35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FC5E4D">
        <w:rPr>
          <w:b/>
          <w:highlight w:val="yellow"/>
        </w:rPr>
        <w:t>Annuitätenmethode</w:t>
      </w:r>
    </w:p>
    <w:p w14:paraId="671D6548" w14:textId="79F07505" w:rsidR="00A1088B" w:rsidRDefault="00A1088B" w:rsidP="00A1088B">
      <w:r>
        <w:t>Sie</w:t>
      </w:r>
      <w:r w:rsidR="004F3F25">
        <w:t xml:space="preserve"> baut auf die Kapitalwertmethode auf und</w:t>
      </w:r>
      <w:r>
        <w:t xml:space="preserve"> </w:t>
      </w:r>
      <w:r w:rsidR="004F3F25">
        <w:t>steht für</w:t>
      </w:r>
      <w:r>
        <w:t xml:space="preserve"> de</w:t>
      </w:r>
      <w:r w:rsidR="004F3F25">
        <w:t>n</w:t>
      </w:r>
      <w:r>
        <w:t xml:space="preserve"> durchschnittliche Jahresüberschuss einer Investition</w:t>
      </w:r>
      <w:r w:rsidR="003C0081">
        <w:t xml:space="preserve">. </w:t>
      </w:r>
      <w:r w:rsidR="004F3F25">
        <w:t xml:space="preserve">Wenn die Annuität (und der </w:t>
      </w:r>
      <w:proofErr w:type="spellStart"/>
      <w:r w:rsidR="004F3F25">
        <w:t>Kaptialwert</w:t>
      </w:r>
      <w:proofErr w:type="spellEnd"/>
      <w:r w:rsidR="004F3F25">
        <w:t>) &gt; 0 sind, ist die Investition vorteilhaft</w:t>
      </w:r>
      <w:r w:rsidR="00C16A5C">
        <w:t xml:space="preserve">. </w:t>
      </w:r>
      <w:r w:rsidR="00017463">
        <w:t>Die Investitionsalternative mit der höchsten positiven Annuität ist am vorteilhaftesten.</w:t>
      </w:r>
    </w:p>
    <w:p w14:paraId="714D1159" w14:textId="4F286F97" w:rsidR="004A75B7" w:rsidRPr="004A75B7" w:rsidRDefault="00541299" w:rsidP="004A75B7">
      <w:pPr>
        <w:pStyle w:val="Untertitel"/>
      </w:pPr>
      <w:r>
        <w:t xml:space="preserve">Formel </w:t>
      </w:r>
      <w:proofErr w:type="spellStart"/>
      <w:r>
        <w:t>Kapitalgewinnugnsfaktor</w:t>
      </w:r>
      <w:proofErr w:type="spellEnd"/>
      <w:r>
        <w:t>:</w:t>
      </w:r>
    </w:p>
    <w:p w14:paraId="05BD1E22" w14:textId="77777777" w:rsidR="004A75B7" w:rsidRDefault="001E7B77" w:rsidP="004A75B7">
      <w:r w:rsidRPr="00204E06">
        <w:rPr>
          <w:noProof/>
          <w:sz w:val="24"/>
          <w:szCs w:val="24"/>
          <w:lang w:eastAsia="de-DE"/>
        </w:rPr>
        <w:drawing>
          <wp:inline distT="0" distB="0" distL="0" distR="0" wp14:anchorId="386084F9" wp14:editId="57BBFC94">
            <wp:extent cx="1383287" cy="691116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150"/>
                    <a:stretch/>
                  </pic:blipFill>
                  <pic:spPr bwMode="auto">
                    <a:xfrm>
                      <a:off x="0" y="0"/>
                      <a:ext cx="1397659" cy="69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5B7" w:rsidRPr="004A75B7">
        <w:t xml:space="preserve"> </w:t>
      </w:r>
    </w:p>
    <w:p w14:paraId="369C917B" w14:textId="0654FEBC" w:rsidR="004A75B7" w:rsidRDefault="004A75B7" w:rsidP="004A75B7">
      <w:r>
        <w:t>n … Nutzungsdauer</w:t>
      </w:r>
    </w:p>
    <w:p w14:paraId="2F85FDFE" w14:textId="77777777" w:rsidR="004A75B7" w:rsidRDefault="004A75B7" w:rsidP="004A75B7">
      <w:r>
        <w:t>i … Zinssatz</w:t>
      </w:r>
    </w:p>
    <w:p w14:paraId="3C71E396" w14:textId="7834CDA7" w:rsidR="001E7B77" w:rsidRDefault="001E7B77" w:rsidP="00541299"/>
    <w:p w14:paraId="1CC2698B" w14:textId="18B1184B" w:rsidR="001E7B77" w:rsidRDefault="001E7B77" w:rsidP="001E7B77">
      <w:pPr>
        <w:pStyle w:val="Untertitel"/>
      </w:pPr>
      <w:r>
        <w:t>Formel Annuität:</w:t>
      </w:r>
    </w:p>
    <w:p w14:paraId="6B4BA963" w14:textId="5CA148D3" w:rsidR="007E3220" w:rsidRPr="007E3220" w:rsidRDefault="001E7B77" w:rsidP="001E7B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*KWF</m:t>
          </m:r>
        </m:oMath>
      </m:oMathPara>
    </w:p>
    <w:p w14:paraId="3DF9ED35" w14:textId="61592097" w:rsidR="007E3220" w:rsidRPr="007E3220" w:rsidRDefault="007E3220" w:rsidP="001E7B77"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… Kapitalwert</w:t>
      </w:r>
    </w:p>
    <w:p w14:paraId="1091DDF2" w14:textId="3273A5D0" w:rsidR="00017463" w:rsidRDefault="00017463" w:rsidP="00A1088B"/>
    <w:p w14:paraId="47D8F5D0" w14:textId="77777777" w:rsidR="00E75E63" w:rsidRDefault="00E75E63">
      <w:pPr>
        <w:spacing w:after="160" w:line="259" w:lineRule="auto"/>
      </w:pPr>
      <w:r>
        <w:br w:type="page"/>
      </w:r>
    </w:p>
    <w:p w14:paraId="19ACEA44" w14:textId="5FFEAA52" w:rsidR="007E3220" w:rsidRDefault="007E3220" w:rsidP="00A1088B">
      <w:r>
        <w:lastRenderedPageBreak/>
        <w:t>Bsp</w:t>
      </w:r>
      <w:r w:rsidR="004A75B7">
        <w:t>.:</w:t>
      </w:r>
    </w:p>
    <w:p w14:paraId="77FF291A" w14:textId="3089AABF" w:rsidR="005D01B1" w:rsidRDefault="005D01B1" w:rsidP="005D01B1">
      <w:pPr>
        <w:keepNext/>
      </w:pPr>
      <w:r>
        <w:rPr>
          <w:noProof/>
          <w:lang w:eastAsia="de-DE"/>
        </w:rPr>
        <w:drawing>
          <wp:inline distT="0" distB="0" distL="0" distR="0" wp14:anchorId="559439E5" wp14:editId="7984C796">
            <wp:extent cx="2291898" cy="139286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3090" cy="14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BF64" w14:textId="308C85AC" w:rsidR="007E3220" w:rsidRDefault="005D01B1" w:rsidP="005D01B1">
      <w:pPr>
        <w:pStyle w:val="Beschriftung"/>
      </w:pPr>
      <w:r>
        <w:t xml:space="preserve">Abb. </w:t>
      </w:r>
      <w:fldSimple w:instr=" SEQ Abb. \* ARABIC ">
        <w:r w:rsidR="00DB67A9">
          <w:rPr>
            <w:noProof/>
          </w:rPr>
          <w:t>1</w:t>
        </w:r>
      </w:fldSimple>
      <w:r>
        <w:t xml:space="preserve"> - eine Investitionsalternative</w:t>
      </w:r>
    </w:p>
    <w:p w14:paraId="1B520A9E" w14:textId="77777777" w:rsidR="00CD021F" w:rsidRDefault="00CD021F" w:rsidP="00CD021F">
      <w:pPr>
        <w:keepNext/>
      </w:pPr>
      <w:r>
        <w:rPr>
          <w:noProof/>
          <w:lang w:eastAsia="de-DE"/>
        </w:rPr>
        <w:drawing>
          <wp:inline distT="0" distB="0" distL="0" distR="0" wp14:anchorId="7BB6272F" wp14:editId="15570666">
            <wp:extent cx="4410091" cy="19138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95" cy="19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CA2" w14:textId="1F1DF5FC" w:rsidR="000B5F35" w:rsidRDefault="00CD021F" w:rsidP="00CD021F">
      <w:pPr>
        <w:pStyle w:val="Beschriftung"/>
      </w:pPr>
      <w:r>
        <w:t xml:space="preserve">Abb. </w:t>
      </w:r>
      <w:fldSimple w:instr=" SEQ Abb. \* ARABIC ">
        <w:r w:rsidR="00DB67A9">
          <w:rPr>
            <w:noProof/>
          </w:rPr>
          <w:t>2</w:t>
        </w:r>
      </w:fldSimple>
      <w:r>
        <w:t xml:space="preserve"> - mehrere Investitionsalternativen</w:t>
      </w:r>
    </w:p>
    <w:p w14:paraId="21D238E1" w14:textId="5C51E127" w:rsidR="00CD021F" w:rsidRDefault="00CD021F" w:rsidP="00CD021F"/>
    <w:p w14:paraId="4C376AD0" w14:textId="61FAC2F3" w:rsidR="00CD021F" w:rsidRPr="004A75B7" w:rsidRDefault="00CD021F" w:rsidP="00CD021F">
      <w:pPr>
        <w:pStyle w:val="Listenabsatz"/>
        <w:numPr>
          <w:ilvl w:val="0"/>
          <w:numId w:val="33"/>
        </w:numPr>
        <w:rPr>
          <w:b/>
        </w:rPr>
      </w:pPr>
      <w:r w:rsidRPr="00B34C80">
        <w:rPr>
          <w:b/>
          <w:highlight w:val="yellow"/>
        </w:rPr>
        <w:t>Interne</w:t>
      </w:r>
      <w:r w:rsidRPr="004A75B7">
        <w:rPr>
          <w:b/>
        </w:rPr>
        <w:t xml:space="preserve"> </w:t>
      </w:r>
      <w:r w:rsidRPr="00B34C80">
        <w:rPr>
          <w:b/>
          <w:highlight w:val="yellow"/>
        </w:rPr>
        <w:t>Zinsfußmethode</w:t>
      </w:r>
      <w:bookmarkStart w:id="0" w:name="_GoBack"/>
      <w:bookmarkEnd w:id="0"/>
      <w:r w:rsidR="00620ED9" w:rsidRPr="004A75B7">
        <w:rPr>
          <w:b/>
        </w:rPr>
        <w:t xml:space="preserve"> </w:t>
      </w:r>
    </w:p>
    <w:p w14:paraId="1B643540" w14:textId="071C07B4" w:rsidR="00CD021F" w:rsidRDefault="00CD021F" w:rsidP="00CD021F">
      <w:r>
        <w:t>Zeigt die Verzinsung einer Investition</w:t>
      </w:r>
      <w:r w:rsidR="00620ED9">
        <w:t>, es wird der Zinssatz ermittelt, bei dem der   Kapitalwert = 0 ist.</w:t>
      </w:r>
      <w:r w:rsidR="00E65C72">
        <w:t xml:space="preserve"> Die Ermittlung erfolgt durch zwei Zinssätze und Annähern</w:t>
      </w:r>
      <w:r w:rsidR="006C2D8C">
        <w:t xml:space="preserve"> (lineare Extrapolation)</w:t>
      </w:r>
      <w:r w:rsidR="00E65C72">
        <w:t xml:space="preserve"> an den gesuchten Wert</w:t>
      </w:r>
      <w:r w:rsidR="006C2D8C">
        <w:t xml:space="preserve"> </w:t>
      </w:r>
    </w:p>
    <w:p w14:paraId="59604BB9" w14:textId="225B5B78" w:rsidR="003531C5" w:rsidRDefault="003531C5" w:rsidP="00CD021F">
      <w:r>
        <w:t>Die Investition ist vorteilhaft</w:t>
      </w:r>
      <w:r w:rsidR="00DE3B9D">
        <w:t>, wenn der ermittelte Zinssatz größer ist als bei einer alternativen Investition. (Ermittlung durch Formel, grafisch oder Tabellenkalkulationsprogramm)</w:t>
      </w:r>
    </w:p>
    <w:p w14:paraId="5AFCA7CF" w14:textId="2D1A3029" w:rsidR="0035781E" w:rsidRDefault="0035781E" w:rsidP="0035781E">
      <w:r>
        <w:t>Bsp.:</w:t>
      </w:r>
    </w:p>
    <w:p w14:paraId="18153762" w14:textId="25990678" w:rsidR="0035781E" w:rsidRDefault="0035781E" w:rsidP="0035781E">
      <w:pPr>
        <w:keepNext/>
      </w:pPr>
      <w:r>
        <w:rPr>
          <w:noProof/>
          <w:lang w:eastAsia="de-DE"/>
        </w:rPr>
        <w:drawing>
          <wp:inline distT="0" distB="0" distL="0" distR="0" wp14:anchorId="0A9452A2" wp14:editId="071D073A">
            <wp:extent cx="4104296" cy="196650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521" b="8546"/>
                    <a:stretch/>
                  </pic:blipFill>
                  <pic:spPr bwMode="auto">
                    <a:xfrm>
                      <a:off x="0" y="0"/>
                      <a:ext cx="4105275" cy="196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6E13" w14:textId="4B39C3C1" w:rsidR="00002E24" w:rsidRDefault="0035781E" w:rsidP="00002E24">
      <w:pPr>
        <w:pStyle w:val="Beschriftung"/>
      </w:pPr>
      <w:r>
        <w:t xml:space="preserve">Abb. </w:t>
      </w:r>
      <w:fldSimple w:instr=" SEQ Abb. \* ARABIC ">
        <w:r w:rsidR="00DB67A9">
          <w:rPr>
            <w:noProof/>
          </w:rPr>
          <w:t>3</w:t>
        </w:r>
      </w:fldSimple>
      <w:r>
        <w:t xml:space="preserve"> - Ermittlung des Kapitalwertes durch Wertetabelle</w:t>
      </w:r>
    </w:p>
    <w:p w14:paraId="1A4C2803" w14:textId="03F8E143" w:rsidR="00002E24" w:rsidRDefault="00002E24" w:rsidP="00002E24">
      <w:pPr>
        <w:pStyle w:val="Beschriftung"/>
        <w:keepNext/>
      </w:pPr>
      <w:r>
        <w:rPr>
          <w:noProof/>
          <w:lang w:eastAsia="de-DE"/>
        </w:rPr>
        <w:lastRenderedPageBreak/>
        <w:drawing>
          <wp:inline distT="0" distB="0" distL="0" distR="0" wp14:anchorId="266746AF" wp14:editId="01570F76">
            <wp:extent cx="1583719" cy="1104548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712" t="5793" r="7554" b="8171"/>
                    <a:stretch/>
                  </pic:blipFill>
                  <pic:spPr bwMode="auto">
                    <a:xfrm>
                      <a:off x="0" y="0"/>
                      <a:ext cx="1610763" cy="112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CB4F" w14:textId="7A0AB0C0" w:rsidR="00002E24" w:rsidRDefault="00002E24" w:rsidP="004A75B7">
      <w:pPr>
        <w:pStyle w:val="Beschriftung"/>
      </w:pPr>
      <w:r>
        <w:t xml:space="preserve">Abb. </w:t>
      </w:r>
      <w:fldSimple w:instr=" SEQ Abb. \* ARABIC ">
        <w:r w:rsidR="00DB67A9">
          <w:rPr>
            <w:noProof/>
          </w:rPr>
          <w:t>4</w:t>
        </w:r>
      </w:fldSimple>
      <w:r>
        <w:t xml:space="preserve"> - Einsetzen des Wertes in die Formel</w:t>
      </w:r>
    </w:p>
    <w:p w14:paraId="3E16B6C5" w14:textId="33E8CC16" w:rsidR="00002E24" w:rsidRPr="004A75B7" w:rsidRDefault="00002E24" w:rsidP="00002E24">
      <w:pPr>
        <w:pStyle w:val="Listenabsatz"/>
        <w:numPr>
          <w:ilvl w:val="0"/>
          <w:numId w:val="33"/>
        </w:numPr>
        <w:rPr>
          <w:b/>
        </w:rPr>
      </w:pPr>
      <w:r w:rsidRPr="004A75B7">
        <w:rPr>
          <w:b/>
        </w:rPr>
        <w:t>Dynam</w:t>
      </w:r>
      <w:r w:rsidR="00BD10A7" w:rsidRPr="004A75B7">
        <w:rPr>
          <w:b/>
        </w:rPr>
        <w:t>ische Amortisationsrechnung</w:t>
      </w:r>
    </w:p>
    <w:p w14:paraId="04EA352C" w14:textId="32B073D3" w:rsidR="00BD10A7" w:rsidRDefault="00BD10A7" w:rsidP="00BD10A7">
      <w:r>
        <w:t>Berücksichtigt bei der Berechnung der Zeitdauer des Mittelrückflusses</w:t>
      </w:r>
      <w:r w:rsidR="00DC3C75">
        <w:t xml:space="preserve"> den unterschiedlichen zeitlichen Zahlungsanfall</w:t>
      </w:r>
      <w:r w:rsidR="007A5E49">
        <w:t>. Die Investition mit der kleinsten Amortisationszeit ist die günstigste.</w:t>
      </w:r>
    </w:p>
    <w:p w14:paraId="0D9DA445" w14:textId="4BA3C2B3" w:rsidR="00CF515B" w:rsidRDefault="008B7308" w:rsidP="00CF515B">
      <w:pPr>
        <w:pStyle w:val="Untertitel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91127B3" wp14:editId="00EFBF5E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224405" cy="541655"/>
            <wp:effectExtent l="0" t="0" r="4445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0" t="7700" r="3746" b="22053"/>
                    <a:stretch/>
                  </pic:blipFill>
                  <pic:spPr bwMode="auto">
                    <a:xfrm>
                      <a:off x="0" y="0"/>
                      <a:ext cx="2261122" cy="55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49">
        <w:t>Formel:</w:t>
      </w:r>
    </w:p>
    <w:p w14:paraId="2B0D07A6" w14:textId="42016C47" w:rsidR="007A5E49" w:rsidRDefault="003B7ACC" w:rsidP="007A5E49">
      <w:r>
        <w:br w:type="textWrapping" w:clear="all"/>
      </w:r>
    </w:p>
    <w:p w14:paraId="33238286" w14:textId="436766CC" w:rsidR="003B7ACC" w:rsidRDefault="003B7ACC" w:rsidP="007A5E49">
      <w:r>
        <w:t>Bsp.:</w:t>
      </w:r>
    </w:p>
    <w:p w14:paraId="70DF6A10" w14:textId="6B668E29" w:rsidR="003B7ACC" w:rsidRDefault="00E1640C" w:rsidP="007A5E49">
      <w:r>
        <w:rPr>
          <w:noProof/>
          <w:lang w:eastAsia="de-DE"/>
        </w:rPr>
        <w:drawing>
          <wp:inline distT="0" distB="0" distL="0" distR="0" wp14:anchorId="5868A3DE" wp14:editId="7400BD39">
            <wp:extent cx="3519377" cy="1577423"/>
            <wp:effectExtent l="0" t="0" r="508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8664" cy="1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DCA" w14:textId="244420AB" w:rsidR="006F350B" w:rsidRPr="006F350B" w:rsidRDefault="006F350B" w:rsidP="00434738">
      <w:pPr>
        <w:pStyle w:val="berschrift2"/>
        <w:numPr>
          <w:ilvl w:val="0"/>
          <w:numId w:val="29"/>
        </w:numPr>
        <w:rPr>
          <w:color w:val="C00000"/>
        </w:rPr>
      </w:pPr>
      <w:r w:rsidRPr="006F350B">
        <w:rPr>
          <w:color w:val="C00000"/>
        </w:rPr>
        <w:t>Beurteilung der dynamischen Verfahren</w:t>
      </w:r>
    </w:p>
    <w:p w14:paraId="352F3587" w14:textId="4984FAD1" w:rsidR="0007225E" w:rsidRPr="00FC5E4D" w:rsidRDefault="0007225E" w:rsidP="0007225E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FC5E4D">
        <w:rPr>
          <w:b/>
          <w:highlight w:val="yellow"/>
        </w:rPr>
        <w:t>Kapitalwertmethode</w:t>
      </w:r>
    </w:p>
    <w:p w14:paraId="0D9706C2" w14:textId="74992CAF" w:rsidR="0007225E" w:rsidRDefault="00601990" w:rsidP="00FC2A4C">
      <w:pPr>
        <w:pStyle w:val="Listenabsatz"/>
        <w:ind w:left="0" w:firstLine="360"/>
      </w:pPr>
      <w:r>
        <w:t>Berücksichtigt Zahlung</w:t>
      </w:r>
      <w:r w:rsidR="00071376">
        <w:t xml:space="preserve">sströme der gesamten Investitionsdauer und ist </w:t>
      </w:r>
      <w:r w:rsidR="009479D5">
        <w:t>bei unterschiedlichen Anschaffungsausgaben anwendbar.</w:t>
      </w:r>
    </w:p>
    <w:p w14:paraId="335427BB" w14:textId="40467419" w:rsidR="009479D5" w:rsidRDefault="009479D5" w:rsidP="004A75B7">
      <w:pPr>
        <w:pStyle w:val="Listenabsatz"/>
        <w:ind w:left="0"/>
      </w:pPr>
      <w:r>
        <w:t xml:space="preserve">Schwierige Prognose der Zahlungsströme, </w:t>
      </w:r>
      <w:r w:rsidR="00584054">
        <w:t>wenig praxisbezogen, berücksichtigt nur die Rentabilität</w:t>
      </w:r>
      <w:r w:rsidR="00F53E62">
        <w:t xml:space="preserve"> und nicht die Liquidität</w:t>
      </w:r>
    </w:p>
    <w:p w14:paraId="69E0B4C0" w14:textId="77777777" w:rsidR="004A75B7" w:rsidRDefault="004A75B7" w:rsidP="004A75B7">
      <w:pPr>
        <w:pStyle w:val="Listenabsatz"/>
        <w:ind w:left="0"/>
      </w:pPr>
    </w:p>
    <w:p w14:paraId="63537AE2" w14:textId="3932B324" w:rsidR="00F53E62" w:rsidRPr="004A75B7" w:rsidRDefault="00F53E62" w:rsidP="00F53E62">
      <w:pPr>
        <w:pStyle w:val="Listenabsatz"/>
        <w:numPr>
          <w:ilvl w:val="0"/>
          <w:numId w:val="33"/>
        </w:numPr>
        <w:rPr>
          <w:b/>
        </w:rPr>
      </w:pPr>
      <w:r w:rsidRPr="00FC5E4D">
        <w:rPr>
          <w:b/>
          <w:highlight w:val="yellow"/>
        </w:rPr>
        <w:t>Methode</w:t>
      </w:r>
      <w:r w:rsidRPr="004A75B7">
        <w:rPr>
          <w:b/>
        </w:rPr>
        <w:t xml:space="preserve"> des </w:t>
      </w:r>
      <w:r w:rsidRPr="00FC5E4D">
        <w:rPr>
          <w:b/>
          <w:highlight w:val="yellow"/>
        </w:rPr>
        <w:t>internen</w:t>
      </w:r>
      <w:r w:rsidRPr="004A75B7">
        <w:rPr>
          <w:b/>
        </w:rPr>
        <w:t xml:space="preserve"> </w:t>
      </w:r>
      <w:r w:rsidRPr="00FC5E4D">
        <w:rPr>
          <w:b/>
          <w:highlight w:val="yellow"/>
        </w:rPr>
        <w:t>Zinsfußes</w:t>
      </w:r>
    </w:p>
    <w:p w14:paraId="690F2CE4" w14:textId="57B3D833" w:rsidR="00F53E62" w:rsidRDefault="00F53E62" w:rsidP="004A75B7">
      <w:pPr>
        <w:pStyle w:val="Listenabsatz"/>
        <w:ind w:left="0"/>
      </w:pPr>
      <w:r>
        <w:t>Berücksichtigt Zahlungsströme der gesamten Investitionsdauer</w:t>
      </w:r>
      <w:r w:rsidR="00230CB5">
        <w:t>, anwendbar bei unterschiedlichen Anschaffungsausgaben, gibt die Rendite an</w:t>
      </w:r>
    </w:p>
    <w:p w14:paraId="2979FE4F" w14:textId="6C832980" w:rsidR="00847D51" w:rsidRDefault="00847D51" w:rsidP="004A75B7">
      <w:pPr>
        <w:pStyle w:val="Listenabsatz"/>
        <w:ind w:left="0"/>
      </w:pPr>
      <w:r>
        <w:t>Gleiche Nachteile wie die Kapitalwertmethode</w:t>
      </w:r>
    </w:p>
    <w:p w14:paraId="7EDC0816" w14:textId="77777777" w:rsidR="004A75B7" w:rsidRDefault="004A75B7" w:rsidP="004A75B7">
      <w:pPr>
        <w:pStyle w:val="Listenabsatz"/>
        <w:ind w:left="0"/>
      </w:pPr>
    </w:p>
    <w:p w14:paraId="0EC4D043" w14:textId="6173514F" w:rsidR="00847D51" w:rsidRPr="004A75B7" w:rsidRDefault="00847D51" w:rsidP="00847D51">
      <w:pPr>
        <w:pStyle w:val="Listenabsatz"/>
        <w:numPr>
          <w:ilvl w:val="0"/>
          <w:numId w:val="33"/>
        </w:numPr>
        <w:rPr>
          <w:b/>
        </w:rPr>
      </w:pPr>
      <w:r w:rsidRPr="00FC5E4D">
        <w:rPr>
          <w:b/>
          <w:highlight w:val="yellow"/>
        </w:rPr>
        <w:t>Dynamische</w:t>
      </w:r>
      <w:r w:rsidRPr="004A75B7">
        <w:rPr>
          <w:b/>
        </w:rPr>
        <w:t xml:space="preserve"> </w:t>
      </w:r>
      <w:r w:rsidRPr="00FC5E4D">
        <w:rPr>
          <w:b/>
          <w:highlight w:val="yellow"/>
        </w:rPr>
        <w:t>Amortisationsrechnung</w:t>
      </w:r>
    </w:p>
    <w:p w14:paraId="20032EB3" w14:textId="5A2F261B" w:rsidR="00847D51" w:rsidRDefault="006C58DE" w:rsidP="004A75B7">
      <w:pPr>
        <w:pStyle w:val="Listenabsatz"/>
        <w:ind w:left="0"/>
      </w:pPr>
      <w:r>
        <w:t>Berücksichtigten</w:t>
      </w:r>
      <w:r w:rsidR="00847D51">
        <w:t xml:space="preserve"> </w:t>
      </w:r>
      <w:r w:rsidR="00E848B2">
        <w:t>gesamten Investitionszeitraum und die Kapitalverzinsung</w:t>
      </w:r>
    </w:p>
    <w:p w14:paraId="5DD5CC39" w14:textId="77777777" w:rsidR="004A75B7" w:rsidRDefault="004A75B7" w:rsidP="004A75B7">
      <w:pPr>
        <w:pStyle w:val="Listenabsatz"/>
        <w:ind w:left="0"/>
      </w:pPr>
    </w:p>
    <w:p w14:paraId="518419DC" w14:textId="76C7BC83" w:rsidR="00E848B2" w:rsidRPr="00FC5E4D" w:rsidRDefault="00E848B2" w:rsidP="00E848B2">
      <w:pPr>
        <w:pStyle w:val="Listenabsatz"/>
        <w:numPr>
          <w:ilvl w:val="0"/>
          <w:numId w:val="33"/>
        </w:numPr>
        <w:rPr>
          <w:b/>
          <w:highlight w:val="yellow"/>
        </w:rPr>
      </w:pPr>
      <w:r w:rsidRPr="00FC5E4D">
        <w:rPr>
          <w:b/>
          <w:highlight w:val="yellow"/>
        </w:rPr>
        <w:t>Annuitätenmethode</w:t>
      </w:r>
    </w:p>
    <w:p w14:paraId="6797F0DD" w14:textId="0EDC19AD" w:rsidR="00E848B2" w:rsidRDefault="001E244B" w:rsidP="004A75B7">
      <w:pPr>
        <w:pStyle w:val="Listenabsatz"/>
        <w:ind w:left="0"/>
      </w:pPr>
      <w:r>
        <w:t xml:space="preserve">Sei weist den Periodenerfolg aus und die unterschiedlichen Anschaffungswerte / Nutzungsdauern </w:t>
      </w:r>
      <w:r w:rsidR="000A214A">
        <w:t>bedingen den Ansatz von Differenzinvestitionen nicht</w:t>
      </w:r>
    </w:p>
    <w:p w14:paraId="2CD1AA29" w14:textId="119F16FD" w:rsidR="000A214A" w:rsidRPr="006F350B" w:rsidRDefault="000A214A" w:rsidP="004A75B7">
      <w:pPr>
        <w:pStyle w:val="Listenabsatz"/>
        <w:ind w:left="0"/>
      </w:pPr>
      <w:r>
        <w:t>Gleiche Nachteile wie die anderen dynamischen Verfahren</w:t>
      </w:r>
    </w:p>
    <w:sectPr w:rsidR="000A214A" w:rsidRPr="006F350B"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1C243" w14:textId="77777777" w:rsidR="00696BD9" w:rsidRDefault="00696BD9" w:rsidP="005D0EAC">
      <w:pPr>
        <w:spacing w:after="0"/>
      </w:pPr>
      <w:r>
        <w:separator/>
      </w:r>
    </w:p>
  </w:endnote>
  <w:endnote w:type="continuationSeparator" w:id="0">
    <w:p w14:paraId="201A9D0C" w14:textId="77777777" w:rsidR="00696BD9" w:rsidRDefault="00696BD9" w:rsidP="005D0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7169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B7E1CC" w14:textId="359D49B2" w:rsidR="00BA2A82" w:rsidRDefault="00BA2A8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F5EEBF" w14:textId="073B1072" w:rsidR="00BA2A82" w:rsidRDefault="00BA2A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241D" w14:textId="77777777" w:rsidR="00696BD9" w:rsidRDefault="00696BD9" w:rsidP="005D0EAC">
      <w:pPr>
        <w:spacing w:after="0"/>
      </w:pPr>
      <w:r>
        <w:separator/>
      </w:r>
    </w:p>
  </w:footnote>
  <w:footnote w:type="continuationSeparator" w:id="0">
    <w:p w14:paraId="1B59DB74" w14:textId="77777777" w:rsidR="00696BD9" w:rsidRDefault="00696BD9" w:rsidP="005D0E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27D"/>
    <w:multiLevelType w:val="hybridMultilevel"/>
    <w:tmpl w:val="BC78CF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960D7"/>
    <w:multiLevelType w:val="hybridMultilevel"/>
    <w:tmpl w:val="6136E46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58F1"/>
    <w:multiLevelType w:val="hybridMultilevel"/>
    <w:tmpl w:val="F94A1C84"/>
    <w:lvl w:ilvl="0" w:tplc="D89A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A7D45"/>
    <w:multiLevelType w:val="hybridMultilevel"/>
    <w:tmpl w:val="A5ECEA04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12E6"/>
    <w:multiLevelType w:val="hybridMultilevel"/>
    <w:tmpl w:val="1E68C48A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1864"/>
    <w:multiLevelType w:val="hybridMultilevel"/>
    <w:tmpl w:val="5E30C642"/>
    <w:lvl w:ilvl="0" w:tplc="8368B6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E0403"/>
    <w:multiLevelType w:val="multilevel"/>
    <w:tmpl w:val="67CC64F2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35D4462"/>
    <w:multiLevelType w:val="hybridMultilevel"/>
    <w:tmpl w:val="25E4ECCC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 w15:restartNumberingAfterBreak="0">
    <w:nsid w:val="36121397"/>
    <w:multiLevelType w:val="hybridMultilevel"/>
    <w:tmpl w:val="9ADC95D0"/>
    <w:lvl w:ilvl="0" w:tplc="302C5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06808"/>
    <w:multiLevelType w:val="hybridMultilevel"/>
    <w:tmpl w:val="81DE8222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66BA2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81239C"/>
    <w:multiLevelType w:val="hybridMultilevel"/>
    <w:tmpl w:val="16087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93812"/>
    <w:multiLevelType w:val="hybridMultilevel"/>
    <w:tmpl w:val="B5724BE4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A1DF5"/>
    <w:multiLevelType w:val="hybridMultilevel"/>
    <w:tmpl w:val="F21CBC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34587C"/>
    <w:multiLevelType w:val="hybridMultilevel"/>
    <w:tmpl w:val="8B641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76C2"/>
    <w:multiLevelType w:val="multilevel"/>
    <w:tmpl w:val="0C07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6" w15:restartNumberingAfterBreak="0">
    <w:nsid w:val="58A03021"/>
    <w:multiLevelType w:val="hybridMultilevel"/>
    <w:tmpl w:val="8B9ED63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2088E"/>
    <w:multiLevelType w:val="hybridMultilevel"/>
    <w:tmpl w:val="CA84A3A0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A13D2"/>
    <w:multiLevelType w:val="hybridMultilevel"/>
    <w:tmpl w:val="1C64827E"/>
    <w:lvl w:ilvl="0" w:tplc="6F3CD440">
      <w:start w:val="1"/>
      <w:numFmt w:val="decimal"/>
      <w:lvlText w:val="%1.1"/>
      <w:lvlJc w:val="left"/>
      <w:pPr>
        <w:ind w:left="360" w:hanging="360"/>
      </w:pPr>
      <w:rPr>
        <w:rFonts w:hint="default"/>
        <w:color w:val="C00000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DC1FD7"/>
    <w:multiLevelType w:val="hybridMultilevel"/>
    <w:tmpl w:val="1E28653E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6"/>
  </w:num>
  <w:num w:numId="5">
    <w:abstractNumId w:val="20"/>
  </w:num>
  <w:num w:numId="6">
    <w:abstractNumId w:val="9"/>
  </w:num>
  <w:num w:numId="7">
    <w:abstractNumId w:val="12"/>
  </w:num>
  <w:num w:numId="8">
    <w:abstractNumId w:val="18"/>
  </w:num>
  <w:num w:numId="9">
    <w:abstractNumId w:val="3"/>
  </w:num>
  <w:num w:numId="10">
    <w:abstractNumId w:val="7"/>
  </w:num>
  <w:num w:numId="11">
    <w:abstractNumId w:val="17"/>
  </w:num>
  <w:num w:numId="12">
    <w:abstractNumId w:val="6"/>
  </w:num>
  <w:num w:numId="13">
    <w:abstractNumId w:val="4"/>
  </w:num>
  <w:num w:numId="14">
    <w:abstractNumId w:val="1"/>
  </w:num>
  <w:num w:numId="15">
    <w:abstractNumId w:val="16"/>
  </w:num>
  <w:num w:numId="16">
    <w:abstractNumId w:val="20"/>
  </w:num>
  <w:num w:numId="17">
    <w:abstractNumId w:val="9"/>
  </w:num>
  <w:num w:numId="18">
    <w:abstractNumId w:val="12"/>
  </w:num>
  <w:num w:numId="19">
    <w:abstractNumId w:val="18"/>
  </w:num>
  <w:num w:numId="20">
    <w:abstractNumId w:val="3"/>
  </w:num>
  <w:num w:numId="21">
    <w:abstractNumId w:val="7"/>
  </w:num>
  <w:num w:numId="22">
    <w:abstractNumId w:val="17"/>
  </w:num>
  <w:num w:numId="23">
    <w:abstractNumId w:val="10"/>
  </w:num>
  <w:num w:numId="24">
    <w:abstractNumId w:val="19"/>
  </w:num>
  <w:num w:numId="25">
    <w:abstractNumId w:val="15"/>
  </w:num>
  <w:num w:numId="26">
    <w:abstractNumId w:val="10"/>
  </w:num>
  <w:num w:numId="27">
    <w:abstractNumId w:val="10"/>
  </w:num>
  <w:num w:numId="28">
    <w:abstractNumId w:val="10"/>
  </w:num>
  <w:num w:numId="29">
    <w:abstractNumId w:val="2"/>
  </w:num>
  <w:num w:numId="30">
    <w:abstractNumId w:val="10"/>
  </w:num>
  <w:num w:numId="31">
    <w:abstractNumId w:val="10"/>
  </w:num>
  <w:num w:numId="32">
    <w:abstractNumId w:val="10"/>
  </w:num>
  <w:num w:numId="33">
    <w:abstractNumId w:val="13"/>
  </w:num>
  <w:num w:numId="34">
    <w:abstractNumId w:val="0"/>
  </w:num>
  <w:num w:numId="35">
    <w:abstractNumId w:val="11"/>
  </w:num>
  <w:num w:numId="36">
    <w:abstractNumId w:val="14"/>
  </w:num>
  <w:num w:numId="37">
    <w:abstractNumId w:val="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0B"/>
    <w:rsid w:val="00001467"/>
    <w:rsid w:val="00002E24"/>
    <w:rsid w:val="00017463"/>
    <w:rsid w:val="00071376"/>
    <w:rsid w:val="0007225E"/>
    <w:rsid w:val="000A214A"/>
    <w:rsid w:val="000B5F35"/>
    <w:rsid w:val="000C1E17"/>
    <w:rsid w:val="00127426"/>
    <w:rsid w:val="001443F3"/>
    <w:rsid w:val="001A1AD4"/>
    <w:rsid w:val="001D2B7F"/>
    <w:rsid w:val="001E1B69"/>
    <w:rsid w:val="001E244B"/>
    <w:rsid w:val="001E7B77"/>
    <w:rsid w:val="00201E5E"/>
    <w:rsid w:val="00230CB5"/>
    <w:rsid w:val="002C7BB4"/>
    <w:rsid w:val="0034793E"/>
    <w:rsid w:val="003531C5"/>
    <w:rsid w:val="0035781E"/>
    <w:rsid w:val="00383999"/>
    <w:rsid w:val="003B7ACC"/>
    <w:rsid w:val="003C0081"/>
    <w:rsid w:val="00420D1B"/>
    <w:rsid w:val="00434738"/>
    <w:rsid w:val="004743CE"/>
    <w:rsid w:val="00482122"/>
    <w:rsid w:val="004A75B7"/>
    <w:rsid w:val="004D1A10"/>
    <w:rsid w:val="004E4A36"/>
    <w:rsid w:val="004F3F25"/>
    <w:rsid w:val="005245A3"/>
    <w:rsid w:val="00534C36"/>
    <w:rsid w:val="00541299"/>
    <w:rsid w:val="00561A78"/>
    <w:rsid w:val="00584054"/>
    <w:rsid w:val="005A4271"/>
    <w:rsid w:val="005D01B1"/>
    <w:rsid w:val="005D0EAC"/>
    <w:rsid w:val="005D2CE4"/>
    <w:rsid w:val="005E61EB"/>
    <w:rsid w:val="005E7E93"/>
    <w:rsid w:val="00601990"/>
    <w:rsid w:val="00610EB2"/>
    <w:rsid w:val="00616BE4"/>
    <w:rsid w:val="00620ED9"/>
    <w:rsid w:val="0063033F"/>
    <w:rsid w:val="0064100C"/>
    <w:rsid w:val="00683091"/>
    <w:rsid w:val="00694EE4"/>
    <w:rsid w:val="00694F16"/>
    <w:rsid w:val="00696BD9"/>
    <w:rsid w:val="006C2D8C"/>
    <w:rsid w:val="006C58DE"/>
    <w:rsid w:val="006E491C"/>
    <w:rsid w:val="006F350B"/>
    <w:rsid w:val="007014BE"/>
    <w:rsid w:val="00713109"/>
    <w:rsid w:val="00730B35"/>
    <w:rsid w:val="00750673"/>
    <w:rsid w:val="00767AF7"/>
    <w:rsid w:val="007777FE"/>
    <w:rsid w:val="00785EA9"/>
    <w:rsid w:val="007903FE"/>
    <w:rsid w:val="007A5E49"/>
    <w:rsid w:val="007E3220"/>
    <w:rsid w:val="007F2A42"/>
    <w:rsid w:val="00810CD2"/>
    <w:rsid w:val="0084489E"/>
    <w:rsid w:val="00847D51"/>
    <w:rsid w:val="0088451D"/>
    <w:rsid w:val="00886FA5"/>
    <w:rsid w:val="008B7308"/>
    <w:rsid w:val="00924458"/>
    <w:rsid w:val="009479D5"/>
    <w:rsid w:val="00997991"/>
    <w:rsid w:val="009D75E0"/>
    <w:rsid w:val="009F1F2A"/>
    <w:rsid w:val="00A1088B"/>
    <w:rsid w:val="00AD21C8"/>
    <w:rsid w:val="00AF434C"/>
    <w:rsid w:val="00B34C80"/>
    <w:rsid w:val="00B62A46"/>
    <w:rsid w:val="00B8462E"/>
    <w:rsid w:val="00BA1C51"/>
    <w:rsid w:val="00BA2A82"/>
    <w:rsid w:val="00BD10A7"/>
    <w:rsid w:val="00C16A5C"/>
    <w:rsid w:val="00C21E68"/>
    <w:rsid w:val="00C5110A"/>
    <w:rsid w:val="00CC7211"/>
    <w:rsid w:val="00CD021F"/>
    <w:rsid w:val="00CE11EB"/>
    <w:rsid w:val="00CE26C4"/>
    <w:rsid w:val="00CE2C5F"/>
    <w:rsid w:val="00CF515B"/>
    <w:rsid w:val="00D46BEE"/>
    <w:rsid w:val="00DB67A9"/>
    <w:rsid w:val="00DC3C75"/>
    <w:rsid w:val="00DE3B9D"/>
    <w:rsid w:val="00E1640C"/>
    <w:rsid w:val="00E603D0"/>
    <w:rsid w:val="00E65C72"/>
    <w:rsid w:val="00E75E63"/>
    <w:rsid w:val="00E848B2"/>
    <w:rsid w:val="00F15DB8"/>
    <w:rsid w:val="00F53E62"/>
    <w:rsid w:val="00FC2A4C"/>
    <w:rsid w:val="00F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422"/>
  <w15:chartTrackingRefBased/>
  <w15:docId w15:val="{E911ED31-1449-4DC3-AA89-DA1B088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350B"/>
    <w:pPr>
      <w:spacing w:after="12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1A78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1A78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1A78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350B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350B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350B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350B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350B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350B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01Gelb">
    <w:name w:val="HÜ01_Gelb"/>
    <w:basedOn w:val="berschrift1"/>
    <w:next w:val="Standard"/>
    <w:link w:val="H01GelbZchn"/>
    <w:qFormat/>
    <w:rsid w:val="00561A78"/>
    <w:pPr>
      <w:numPr>
        <w:numId w:val="0"/>
      </w:num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561A78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561A78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561A78"/>
    <w:rPr>
      <w:color w:val="FF0000"/>
    </w:rPr>
  </w:style>
  <w:style w:type="character" w:customStyle="1" w:styleId="H03RotZchn">
    <w:name w:val="HÜ03_Rot Zchn"/>
    <w:basedOn w:val="H01GelbZchn"/>
    <w:link w:val="H03Rot"/>
    <w:rsid w:val="00561A78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561A78"/>
    <w:rPr>
      <w:color w:val="FF99CC"/>
    </w:rPr>
  </w:style>
  <w:style w:type="character" w:customStyle="1" w:styleId="H04RosaZchn">
    <w:name w:val="HÜ04_Rosa Zchn"/>
    <w:basedOn w:val="H01GelbZchn"/>
    <w:link w:val="H04Rosa"/>
    <w:rsid w:val="00561A78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561A78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561A78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561A78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561A78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561A78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561A78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561A78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561A78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561A78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561A78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561A78"/>
    <w:rPr>
      <w:color w:val="00FFFF"/>
    </w:rPr>
  </w:style>
  <w:style w:type="character" w:customStyle="1" w:styleId="H10TrkisZchn">
    <w:name w:val="HÜ10_Türkis Zchn"/>
    <w:basedOn w:val="H01GelbZchn"/>
    <w:link w:val="H10Trkis"/>
    <w:rsid w:val="00561A78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561A78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561A78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561A78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561A78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561A78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561A78"/>
    <w:rPr>
      <w:rFonts w:ascii="Arial" w:eastAsiaTheme="majorEastAsia" w:hAnsi="Arial" w:cs="Arial"/>
      <w:color w:val="009900"/>
      <w:sz w:val="28"/>
      <w:szCs w:val="28"/>
    </w:rPr>
  </w:style>
  <w:style w:type="paragraph" w:styleId="KeinLeerraum">
    <w:name w:val="No Spacing"/>
    <w:uiPriority w:val="1"/>
    <w:qFormat/>
    <w:rsid w:val="00561A78"/>
    <w:pPr>
      <w:spacing w:after="0" w:line="240" w:lineRule="auto"/>
    </w:pPr>
  </w:style>
  <w:style w:type="paragraph" w:customStyle="1" w:styleId="101Gelb">
    <w:name w:val="Ü101_Gelb"/>
    <w:next w:val="Standard"/>
    <w:link w:val="101GelbZchn"/>
    <w:autoRedefine/>
    <w:qFormat/>
    <w:rsid w:val="00561A78"/>
    <w:pPr>
      <w:numPr>
        <w:numId w:val="12"/>
      </w:numPr>
      <w:tabs>
        <w:tab w:val="clear" w:pos="720"/>
      </w:tabs>
      <w:spacing w:before="60" w:after="0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Absatz-Standardschriftart"/>
    <w:link w:val="101Gelb"/>
    <w:rsid w:val="00561A78"/>
    <w:rPr>
      <w:rFonts w:ascii="Arial" w:eastAsiaTheme="majorEastAsia" w:hAnsi="Arial" w:cstheme="majorBidi"/>
      <w:color w:val="FFC000" w:themeColor="accent4"/>
      <w:sz w:val="24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561A78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561A78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103Rot">
    <w:name w:val="Ü103_Rot"/>
    <w:next w:val="Standard"/>
    <w:link w:val="103RotZchn"/>
    <w:autoRedefine/>
    <w:qFormat/>
    <w:rsid w:val="00561A78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561A78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561A78"/>
    <w:pPr>
      <w:numPr>
        <w:numId w:val="13"/>
      </w:numPr>
      <w:spacing w:before="60" w:after="0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561A78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561A78"/>
    <w:pPr>
      <w:numPr>
        <w:numId w:val="14"/>
      </w:numPr>
      <w:spacing w:before="60" w:after="0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561A78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561A78"/>
    <w:pPr>
      <w:numPr>
        <w:numId w:val="15"/>
      </w:numPr>
      <w:spacing w:before="60" w:after="0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561A78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61A78"/>
    <w:pPr>
      <w:numPr>
        <w:numId w:val="16"/>
      </w:numPr>
      <w:spacing w:before="60" w:after="0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61A78"/>
    <w:rPr>
      <w:rFonts w:ascii="Arial" w:hAnsi="Arial"/>
      <w:color w:val="66CCFF"/>
      <w:sz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561A78"/>
    <w:pPr>
      <w:numPr>
        <w:numId w:val="17"/>
      </w:numPr>
      <w:spacing w:before="60" w:after="0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561A78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561A78"/>
    <w:pPr>
      <w:numPr>
        <w:numId w:val="18"/>
      </w:numPr>
      <w:spacing w:before="60" w:after="0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561A78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561A78"/>
    <w:pPr>
      <w:numPr>
        <w:numId w:val="19"/>
      </w:numPr>
      <w:spacing w:before="60" w:after="0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561A78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561A78"/>
    <w:pPr>
      <w:numPr>
        <w:numId w:val="20"/>
      </w:numPr>
      <w:spacing w:before="60" w:after="0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561A78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561A78"/>
    <w:pPr>
      <w:numPr>
        <w:numId w:val="21"/>
      </w:numPr>
      <w:spacing w:before="60" w:after="0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561A78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561A78"/>
    <w:pPr>
      <w:numPr>
        <w:numId w:val="22"/>
      </w:numPr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561A78"/>
    <w:rPr>
      <w:rFonts w:ascii="Arial" w:hAnsi="Arial"/>
      <w:color w:val="009900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1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1Gelb">
    <w:name w:val="Ü201_Gelb"/>
    <w:basedOn w:val="berschrift3"/>
    <w:next w:val="Standard"/>
    <w:link w:val="201GelbZchn"/>
    <w:qFormat/>
    <w:rsid w:val="00561A78"/>
    <w:pPr>
      <w:numPr>
        <w:ilvl w:val="0"/>
        <w:numId w:val="0"/>
      </w:numPr>
    </w:pPr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561A78"/>
    <w:rPr>
      <w:rFonts w:ascii="Arial" w:eastAsiaTheme="majorEastAsia" w:hAnsi="Arial" w:cstheme="majorBidi"/>
      <w:b/>
      <w:color w:val="FFC000"/>
      <w:sz w:val="18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561A78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561A78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561A78"/>
    <w:rPr>
      <w:color w:val="FF0000"/>
    </w:rPr>
  </w:style>
  <w:style w:type="character" w:customStyle="1" w:styleId="203RotZchn">
    <w:name w:val="Ü203_Rot Zchn"/>
    <w:basedOn w:val="201GelbZchn"/>
    <w:link w:val="203Rot"/>
    <w:rsid w:val="00561A78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561A78"/>
    <w:rPr>
      <w:color w:val="FF99CC"/>
    </w:rPr>
  </w:style>
  <w:style w:type="character" w:customStyle="1" w:styleId="204RosaZchn">
    <w:name w:val="Ü204_Rosa Zchn"/>
    <w:basedOn w:val="201GelbZchn"/>
    <w:link w:val="204Rosa"/>
    <w:rsid w:val="00561A78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561A78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561A78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561A78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561A78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561A78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561A78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561A78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561A78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561A78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561A78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561A78"/>
    <w:rPr>
      <w:color w:val="00FFFF"/>
    </w:rPr>
  </w:style>
  <w:style w:type="character" w:customStyle="1" w:styleId="210TrkisZchn">
    <w:name w:val="Ü210_Türkis Zchn"/>
    <w:basedOn w:val="201GelbZchn"/>
    <w:link w:val="210Trkis"/>
    <w:rsid w:val="00561A78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561A78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561A78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561A78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561A78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561A78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561A78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300">
    <w:name w:val="Ü300"/>
    <w:next w:val="Standard"/>
    <w:qFormat/>
    <w:rsid w:val="00561A78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1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35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35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35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35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35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35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94F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11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11E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4743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mtext">
    <w:name w:val="mtext"/>
    <w:basedOn w:val="Absatz-Standardschriftart"/>
    <w:rsid w:val="004743CE"/>
  </w:style>
  <w:style w:type="character" w:customStyle="1" w:styleId="mo">
    <w:name w:val="mo"/>
    <w:basedOn w:val="Absatz-Standardschriftart"/>
    <w:rsid w:val="004743CE"/>
  </w:style>
  <w:style w:type="character" w:styleId="Platzhaltertext">
    <w:name w:val="Placeholder Text"/>
    <w:basedOn w:val="Absatz-Standardschriftart"/>
    <w:uiPriority w:val="99"/>
    <w:semiHidden/>
    <w:rsid w:val="004D1A10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29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299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5D01B1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0EA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D0EA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D0EA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D0EA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1808-FA9D-4A98-8DC9-0371207E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1072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Marcel Judth</cp:lastModifiedBy>
  <cp:revision>95</cp:revision>
  <dcterms:created xsi:type="dcterms:W3CDTF">2019-03-27T11:41:00Z</dcterms:created>
  <dcterms:modified xsi:type="dcterms:W3CDTF">2019-03-28T14:08:00Z</dcterms:modified>
</cp:coreProperties>
</file>