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48"/>
          <w:szCs w:val="48"/>
          <w:lang w:val="en-US" w:eastAsia="zh-CN"/>
        </w:rPr>
      </w:pPr>
      <w:r>
        <w:rPr>
          <w:rFonts w:hint="default"/>
          <w:sz w:val="48"/>
          <w:szCs w:val="48"/>
          <w:lang w:val="en-US" w:eastAsia="zh-CN"/>
        </w:rPr>
        <w:t>ESG</w:t>
      </w:r>
      <w:r>
        <w:rPr>
          <w:rFonts w:hint="eastAsia"/>
          <w:sz w:val="48"/>
          <w:szCs w:val="48"/>
          <w:lang w:val="en-US" w:eastAsia="zh-CN"/>
        </w:rPr>
        <w:t>实训作业</w:t>
      </w:r>
    </w:p>
    <w:p>
      <w:pPr>
        <w:rPr>
          <w:rFonts w:hint="eastAsia"/>
          <w:lang w:val="en-US" w:eastAsia="zh-CN"/>
        </w:rPr>
      </w:pPr>
    </w:p>
    <w:p>
      <w:pPr>
        <w:keepNext w:val="0"/>
        <w:keepLines w:val="0"/>
        <w:pageBreakBefore w:val="0"/>
        <w:numPr>
          <w:ilvl w:val="0"/>
          <w:numId w:val="1"/>
        </w:numPr>
        <w:kinsoku/>
        <w:wordWrap/>
        <w:overflowPunct/>
        <w:topLinePunct w:val="0"/>
        <w:autoSpaceDE/>
        <w:autoSpaceDN/>
        <w:bidi w:val="0"/>
        <w:adjustRightInd/>
        <w:snapToGrid/>
        <w:ind w:firstLine="480" w:firstLineChars="200"/>
        <w:rPr>
          <w:rFonts w:hint="eastAsia"/>
          <w:b/>
          <w:bCs/>
          <w:lang w:val="en-US" w:eastAsia="zh-CN"/>
        </w:rPr>
      </w:pPr>
      <w:r>
        <w:rPr>
          <w:rFonts w:hint="eastAsia"/>
          <w:b/>
          <w:bCs/>
          <w:lang w:val="en-US" w:eastAsia="zh-CN"/>
        </w:rPr>
        <w:t>报告编制依据</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eastAsia"/>
          <w:lang w:val="en-US" w:eastAsia="zh-CN"/>
        </w:rPr>
      </w:pPr>
      <w:r>
        <w:rPr>
          <w:rFonts w:hint="eastAsia"/>
          <w:lang w:val="en-US" w:eastAsia="zh-CN"/>
        </w:rPr>
        <w:t>通过官网了解到广州白云金融控股集团有限公司（简称：白云金控）是2018年4月白云区政府成立的区属国有产业金融平台，其形成了以“金融服务”为主体，以“人才教育、不动产投资”为两翼的“一体两翼、境内加境外”业务布局，致力于基金管理、股权投资、融资担保、供应链等金融服务，人才招聘、劳务派遣、教育培训等人力资源服务，以及产业园区建设和运营、招商引资、租赁住房等不动产投资管理服务。</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default"/>
          <w:lang w:val="en-US" w:eastAsia="zh-CN"/>
        </w:rPr>
      </w:pPr>
      <w:r>
        <w:rPr>
          <w:rFonts w:hint="eastAsia"/>
          <w:lang w:val="en-US" w:eastAsia="zh-CN"/>
        </w:rPr>
        <w:t>根据以上企业背景信息与所学内容，得到白云金控可参考的编制依据如下：</w:t>
      </w:r>
    </w:p>
    <w:p>
      <w:pPr>
        <w:pStyle w:val="3"/>
        <w:keepNext w:val="0"/>
        <w:keepLines w:val="0"/>
        <w:pageBreakBefore w:val="0"/>
        <w:kinsoku/>
        <w:wordWrap/>
        <w:overflowPunct/>
        <w:topLinePunct w:val="0"/>
        <w:autoSpaceDE/>
        <w:autoSpaceDN/>
        <w:bidi w:val="0"/>
        <w:adjustRightInd/>
        <w:snapToGrid/>
        <w:ind w:firstLine="420" w:firstLineChars="200"/>
        <w:jc w:val="center"/>
        <w:rPr>
          <w:rFonts w:hint="eastAsia" w:eastAsia="宋体"/>
          <w:lang w:eastAsia="zh-CN"/>
        </w:rPr>
      </w:pPr>
      <w:r>
        <w:t>表</w:t>
      </w:r>
      <w:r>
        <w:fldChar w:fldCharType="begin"/>
      </w:r>
      <w:r>
        <w:instrText xml:space="preserve">SEQ表\*ARABIC</w:instrText>
      </w:r>
      <w:r>
        <w:fldChar w:fldCharType="separate"/>
      </w:r>
      <w:r>
        <w:t>1</w:t>
      </w:r>
      <w:r>
        <w:fldChar w:fldCharType="end"/>
      </w:r>
      <w:r>
        <w:rPr>
          <w:rFonts w:hint="eastAsia"/>
          <w:lang w:eastAsia="zh-CN"/>
        </w:rPr>
        <w:t>白云金控ESG报告编制依据</w:t>
      </w:r>
    </w:p>
    <w:tbl>
      <w:tblPr>
        <w:tblStyle w:val="6"/>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62"/>
        <w:gridCol w:w="1970"/>
        <w:gridCol w:w="2435"/>
        <w:gridCol w:w="365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tcBorders>
              <w:top w:val="single" w:color="75BD42" w:sz="12" w:space="0"/>
              <w:left w:val="nil"/>
              <w:bottom w:val="single" w:color="75BD42" w:sz="4" w:space="0"/>
              <w:right w:val="nil"/>
              <w:tl2br w:val="nil"/>
            </w:tcBorders>
            <w:shd w:val="clear" w:color="auto" w:fill="FFFFFF"/>
            <w:noWrap/>
            <w:vAlign w:val="center"/>
          </w:tcPr>
          <w:p>
            <w:pPr>
              <w:pStyle w:val="10"/>
              <w:bidi w:val="0"/>
              <w:jc w:val="center"/>
              <w:rPr>
                <w:rFonts w:hint="eastAsia"/>
              </w:rPr>
            </w:pPr>
            <w:r>
              <w:rPr>
                <w:rFonts w:hint="eastAsia"/>
                <w:lang w:val="en-US" w:eastAsia="zh-CN"/>
              </w:rPr>
              <w:t>地区</w:t>
            </w:r>
          </w:p>
        </w:tc>
        <w:tc>
          <w:tcPr>
            <w:tcW w:w="0" w:type="auto"/>
            <w:tcBorders>
              <w:top w:val="single" w:color="75BD42" w:sz="12" w:space="0"/>
              <w:left w:val="nil"/>
              <w:bottom w:val="single" w:color="75BD42" w:sz="4" w:space="0"/>
              <w:right w:val="nil"/>
            </w:tcBorders>
            <w:shd w:val="clear" w:color="auto" w:fill="FFFFFF"/>
            <w:noWrap/>
            <w:vAlign w:val="center"/>
          </w:tcPr>
          <w:p>
            <w:pPr>
              <w:pStyle w:val="10"/>
              <w:bidi w:val="0"/>
              <w:jc w:val="center"/>
              <w:rPr>
                <w:rFonts w:hint="eastAsia"/>
              </w:rPr>
            </w:pPr>
            <w:r>
              <w:rPr>
                <w:rFonts w:hint="eastAsia"/>
                <w:lang w:val="en-US" w:eastAsia="zh-CN"/>
              </w:rPr>
              <w:t>发布机构</w:t>
            </w:r>
          </w:p>
        </w:tc>
        <w:tc>
          <w:tcPr>
            <w:tcW w:w="0" w:type="auto"/>
            <w:tcBorders>
              <w:top w:val="single" w:color="75BD42" w:sz="12" w:space="0"/>
              <w:left w:val="nil"/>
              <w:bottom w:val="single" w:color="75BD42" w:sz="4" w:space="0"/>
              <w:right w:val="nil"/>
            </w:tcBorders>
            <w:shd w:val="clear" w:color="auto" w:fill="FFFFFF"/>
            <w:noWrap/>
            <w:vAlign w:val="center"/>
          </w:tcPr>
          <w:p>
            <w:pPr>
              <w:pStyle w:val="10"/>
              <w:bidi w:val="0"/>
              <w:jc w:val="center"/>
              <w:rPr>
                <w:rFonts w:hint="eastAsia"/>
              </w:rPr>
            </w:pPr>
            <w:r>
              <w:rPr>
                <w:rFonts w:hint="eastAsia"/>
                <w:lang w:val="en-US" w:eastAsia="zh-CN"/>
              </w:rPr>
              <w:t>指引名称</w:t>
            </w:r>
          </w:p>
        </w:tc>
        <w:tc>
          <w:tcPr>
            <w:tcW w:w="0" w:type="auto"/>
            <w:tcBorders>
              <w:top w:val="single" w:color="75BD42" w:sz="12" w:space="0"/>
              <w:left w:val="nil"/>
              <w:bottom w:val="single" w:color="75BD42" w:sz="4" w:space="0"/>
              <w:right w:val="nil"/>
            </w:tcBorders>
            <w:shd w:val="clear" w:color="auto" w:fill="FFFFFF"/>
            <w:noWrap/>
            <w:vAlign w:val="center"/>
          </w:tcPr>
          <w:p>
            <w:pPr>
              <w:pStyle w:val="10"/>
              <w:bidi w:val="0"/>
              <w:jc w:val="center"/>
              <w:rPr>
                <w:rFonts w:hint="eastAsia"/>
              </w:rPr>
            </w:pPr>
            <w:r>
              <w:rPr>
                <w:rFonts w:hint="eastAsia"/>
                <w:lang w:val="en-US" w:eastAsia="zh-CN"/>
              </w:rPr>
              <w:t>选取原因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680" w:hRule="atLeast"/>
          <w:jc w:val="right"/>
        </w:trPr>
        <w:tc>
          <w:tcPr>
            <w:tcW w:w="0" w:type="auto"/>
            <w:vMerge w:val="restart"/>
            <w:tcBorders>
              <w:top w:val="single" w:color="75BD42" w:sz="4" w:space="0"/>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国内</w:t>
            </w:r>
          </w:p>
        </w:tc>
        <w:tc>
          <w:tcPr>
            <w:tcW w:w="0" w:type="auto"/>
            <w:tcBorders>
              <w:top w:val="single" w:color="75BD42" w:sz="4" w:space="0"/>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国务院国有资产监督管理委员会</w:t>
            </w:r>
          </w:p>
        </w:tc>
        <w:tc>
          <w:tcPr>
            <w:tcW w:w="0" w:type="auto"/>
            <w:tcBorders>
              <w:top w:val="single" w:color="75BD42" w:sz="4" w:space="0"/>
              <w:left w:val="nil"/>
              <w:bottom w:val="nil"/>
              <w:right w:val="nil"/>
            </w:tcBorders>
            <w:shd w:val="clear" w:color="auto" w:fill="FFFFFF"/>
            <w:vAlign w:val="center"/>
          </w:tcPr>
          <w:p>
            <w:pPr>
              <w:pStyle w:val="10"/>
              <w:bidi w:val="0"/>
              <w:jc w:val="center"/>
              <w:rPr>
                <w:rFonts w:hint="eastAsia"/>
              </w:rPr>
            </w:pPr>
            <w:r>
              <w:rPr>
                <w:rFonts w:hint="eastAsia"/>
                <w:lang w:val="en-US" w:eastAsia="zh-CN"/>
              </w:rPr>
              <w:t>《关于中央企业履行社会责任的指导意见》</w:t>
            </w:r>
            <w:r>
              <w:rPr>
                <w:rFonts w:hint="eastAsia"/>
                <w:lang w:val="en-US" w:eastAsia="zh-CN"/>
              </w:rPr>
              <w:br w:type="textWrapping"/>
            </w:r>
            <w:r>
              <w:rPr>
                <w:rFonts w:hint="eastAsia"/>
                <w:lang w:val="en-US" w:eastAsia="zh-CN"/>
              </w:rPr>
              <w:t>《央企控股上市公司ESG专项报告编织研究》</w:t>
            </w:r>
          </w:p>
        </w:tc>
        <w:tc>
          <w:tcPr>
            <w:tcW w:w="0" w:type="auto"/>
            <w:vMerge w:val="restart"/>
            <w:tcBorders>
              <w:top w:val="single" w:color="75BD42" w:sz="4" w:space="0"/>
              <w:left w:val="nil"/>
              <w:bottom w:val="nil"/>
              <w:right w:val="nil"/>
            </w:tcBorders>
            <w:shd w:val="clear" w:color="auto" w:fill="FFFFFF"/>
            <w:vAlign w:val="center"/>
          </w:tcPr>
          <w:p>
            <w:pPr>
              <w:pStyle w:val="10"/>
              <w:bidi w:val="0"/>
              <w:jc w:val="center"/>
              <w:rPr>
                <w:rFonts w:hint="eastAsia"/>
              </w:rPr>
            </w:pPr>
            <w:r>
              <w:rPr>
                <w:rFonts w:hint="eastAsia"/>
                <w:lang w:val="en-US" w:eastAsia="zh-CN"/>
              </w:rPr>
              <w:t>白云金控广州市白云区政府成立的区属国有产业金融平台，</w:t>
            </w:r>
            <w:r>
              <w:rPr>
                <w:rFonts w:hint="eastAsia"/>
                <w:lang w:val="en-US" w:eastAsia="zh-CN"/>
              </w:rPr>
              <w:br w:type="textWrapping"/>
            </w:r>
            <w:r>
              <w:rPr>
                <w:rFonts w:hint="eastAsia"/>
                <w:lang w:val="en-US" w:eastAsia="zh-CN"/>
              </w:rPr>
              <w:t>实际控制人为财政机关（广州市白云区财政局），因此属于国有独资企业</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vMerge w:val="continue"/>
            <w:tcBorders>
              <w:top w:val="nil"/>
              <w:left w:val="nil"/>
              <w:bottom w:val="nil"/>
              <w:right w:val="nil"/>
            </w:tcBorders>
            <w:shd w:val="clear" w:color="auto" w:fill="FFFFFF"/>
            <w:noWrap/>
            <w:vAlign w:val="center"/>
          </w:tcPr>
          <w:p>
            <w:pPr>
              <w:pStyle w:val="10"/>
              <w:bidi w:val="0"/>
              <w:jc w:val="center"/>
              <w:rPr>
                <w:rFonts w:hint="eastAsia"/>
              </w:rPr>
            </w:pP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国家市场监督管理总局</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《社会责任指南》（GB/T 36000）</w:t>
            </w:r>
          </w:p>
        </w:tc>
        <w:tc>
          <w:tcPr>
            <w:tcW w:w="0" w:type="auto"/>
            <w:vMerge w:val="continue"/>
            <w:tcBorders>
              <w:top w:val="nil"/>
              <w:left w:val="nil"/>
              <w:bottom w:val="nil"/>
              <w:right w:val="nil"/>
            </w:tcBorders>
            <w:shd w:val="clear" w:color="auto" w:fill="FFFFFF"/>
            <w:vAlign w:val="center"/>
          </w:tcPr>
          <w:p>
            <w:pPr>
              <w:pStyle w:val="10"/>
              <w:bidi w:val="0"/>
              <w:jc w:val="center"/>
              <w:rPr>
                <w:rFonts w:hint="eastAsi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vMerge w:val="continue"/>
            <w:tcBorders>
              <w:top w:val="nil"/>
              <w:left w:val="nil"/>
              <w:bottom w:val="nil"/>
              <w:right w:val="nil"/>
            </w:tcBorders>
            <w:shd w:val="clear" w:color="auto" w:fill="FFFFFF"/>
            <w:noWrap/>
            <w:vAlign w:val="center"/>
          </w:tcPr>
          <w:p>
            <w:pPr>
              <w:pStyle w:val="10"/>
              <w:bidi w:val="0"/>
              <w:jc w:val="center"/>
              <w:rPr>
                <w:rFonts w:hint="eastAsia"/>
              </w:rPr>
            </w:pP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香港联合交易所</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《环境、社会及管治报告指引》</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地处大湾区，且联交所披露要求更为严格与成熟，具有参考价值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vMerge w:val="restart"/>
            <w:tcBorders>
              <w:top w:val="nil"/>
              <w:left w:val="nil"/>
              <w:right w:val="nil"/>
            </w:tcBorders>
            <w:shd w:val="clear" w:color="auto" w:fill="FFFFFF"/>
            <w:noWrap/>
            <w:vAlign w:val="center"/>
          </w:tcPr>
          <w:p>
            <w:pPr>
              <w:pStyle w:val="10"/>
              <w:bidi w:val="0"/>
              <w:jc w:val="center"/>
              <w:rPr>
                <w:rFonts w:hint="eastAsia"/>
              </w:rPr>
            </w:pPr>
            <w:r>
              <w:rPr>
                <w:rFonts w:hint="eastAsia"/>
                <w:lang w:val="en-US" w:eastAsia="zh-CN"/>
              </w:rPr>
              <w:t>国际</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全球报告倡议组织（GRI）</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《可持续发展报告标准》</w:t>
            </w:r>
          </w:p>
        </w:tc>
        <w:tc>
          <w:tcPr>
            <w:tcW w:w="0" w:type="auto"/>
            <w:vMerge w:val="restart"/>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有境外业务布局，须遵守国际及当地标准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vMerge w:val="continue"/>
            <w:tcBorders>
              <w:left w:val="nil"/>
              <w:right w:val="nil"/>
            </w:tcBorders>
            <w:shd w:val="clear" w:color="auto" w:fill="FFFFFF"/>
            <w:noWrap/>
            <w:vAlign w:val="center"/>
          </w:tcPr>
          <w:p>
            <w:pPr>
              <w:pStyle w:val="10"/>
              <w:bidi w:val="0"/>
              <w:jc w:val="center"/>
              <w:rPr>
                <w:rFonts w:hint="eastAsia"/>
              </w:rPr>
            </w:pP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联合国</w:t>
            </w:r>
          </w:p>
        </w:tc>
        <w:tc>
          <w:tcPr>
            <w:tcW w:w="0" w:type="auto"/>
            <w:tcBorders>
              <w:top w:val="nil"/>
              <w:left w:val="nil"/>
              <w:bottom w:val="nil"/>
              <w:right w:val="nil"/>
            </w:tcBorders>
            <w:shd w:val="clear" w:color="auto" w:fill="FFFFFF"/>
            <w:noWrap/>
            <w:vAlign w:val="center"/>
          </w:tcPr>
          <w:p>
            <w:pPr>
              <w:pStyle w:val="10"/>
              <w:bidi w:val="0"/>
              <w:jc w:val="center"/>
              <w:rPr>
                <w:rFonts w:hint="eastAsia"/>
              </w:rPr>
            </w:pPr>
            <w:r>
              <w:rPr>
                <w:rFonts w:hint="eastAsia"/>
                <w:lang w:val="en-US" w:eastAsia="zh-CN"/>
              </w:rPr>
              <w:t>联合国可持续发展目标（SDGs）</w:t>
            </w:r>
          </w:p>
        </w:tc>
        <w:tc>
          <w:tcPr>
            <w:tcW w:w="0" w:type="auto"/>
            <w:vMerge w:val="continue"/>
            <w:tcBorders>
              <w:top w:val="nil"/>
              <w:left w:val="nil"/>
              <w:bottom w:val="nil"/>
              <w:right w:val="nil"/>
            </w:tcBorders>
            <w:shd w:val="clear" w:color="auto" w:fill="FFFFFF"/>
            <w:noWrap/>
            <w:vAlign w:val="center"/>
          </w:tcPr>
          <w:p>
            <w:pPr>
              <w:pStyle w:val="10"/>
              <w:bidi w:val="0"/>
              <w:jc w:val="center"/>
              <w:rPr>
                <w:rFonts w:hint="eastAsi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36" w:hRule="atLeast"/>
          <w:jc w:val="right"/>
        </w:trPr>
        <w:tc>
          <w:tcPr>
            <w:tcW w:w="0" w:type="auto"/>
            <w:vMerge w:val="continue"/>
            <w:tcBorders>
              <w:left w:val="nil"/>
              <w:bottom w:val="single" w:color="75BD42" w:sz="12" w:space="0"/>
              <w:right w:val="nil"/>
            </w:tcBorders>
            <w:shd w:val="clear" w:color="auto" w:fill="FFFFFF"/>
            <w:noWrap/>
            <w:vAlign w:val="center"/>
          </w:tcPr>
          <w:p>
            <w:pPr>
              <w:pStyle w:val="10"/>
              <w:bidi w:val="0"/>
              <w:jc w:val="center"/>
              <w:rPr>
                <w:rFonts w:hint="eastAsia"/>
              </w:rPr>
            </w:pPr>
          </w:p>
        </w:tc>
        <w:tc>
          <w:tcPr>
            <w:tcW w:w="0" w:type="auto"/>
            <w:tcBorders>
              <w:top w:val="nil"/>
              <w:left w:val="nil"/>
              <w:bottom w:val="single" w:color="75BD42" w:sz="12" w:space="0"/>
              <w:right w:val="nil"/>
            </w:tcBorders>
            <w:shd w:val="clear" w:color="auto" w:fill="FFFFFF"/>
            <w:noWrap/>
            <w:vAlign w:val="center"/>
          </w:tcPr>
          <w:p>
            <w:pPr>
              <w:pStyle w:val="10"/>
              <w:bidi w:val="0"/>
              <w:jc w:val="center"/>
              <w:rPr>
                <w:rFonts w:hint="eastAsia"/>
              </w:rPr>
            </w:pPr>
            <w:r>
              <w:rPr>
                <w:rFonts w:hint="eastAsia"/>
                <w:lang w:val="en-US" w:eastAsia="zh-CN"/>
              </w:rPr>
              <w:t>国际可持续准则理事会（ISSB）</w:t>
            </w:r>
          </w:p>
        </w:tc>
        <w:tc>
          <w:tcPr>
            <w:tcW w:w="0" w:type="auto"/>
            <w:tcBorders>
              <w:top w:val="nil"/>
              <w:left w:val="nil"/>
              <w:bottom w:val="single" w:color="75BD42" w:sz="12" w:space="0"/>
              <w:right w:val="nil"/>
            </w:tcBorders>
            <w:shd w:val="clear" w:color="auto" w:fill="FFFFFF"/>
            <w:noWrap/>
            <w:vAlign w:val="center"/>
          </w:tcPr>
          <w:p>
            <w:pPr>
              <w:pStyle w:val="10"/>
              <w:bidi w:val="0"/>
              <w:jc w:val="center"/>
              <w:rPr>
                <w:rFonts w:hint="eastAsia"/>
              </w:rPr>
            </w:pPr>
            <w:r>
              <w:rPr>
                <w:rFonts w:hint="eastAsia"/>
                <w:lang w:val="en-US" w:eastAsia="zh-CN"/>
              </w:rPr>
              <w:t>可持续披露准则（IFRS S1和IFRS S2）</w:t>
            </w:r>
          </w:p>
        </w:tc>
        <w:tc>
          <w:tcPr>
            <w:tcW w:w="0" w:type="auto"/>
            <w:vMerge w:val="continue"/>
            <w:tcBorders>
              <w:top w:val="nil"/>
              <w:left w:val="nil"/>
              <w:bottom w:val="single" w:color="75BD42" w:sz="12" w:space="0"/>
              <w:right w:val="nil"/>
            </w:tcBorders>
            <w:shd w:val="clear" w:color="auto" w:fill="FFFFFF"/>
            <w:noWrap/>
            <w:vAlign w:val="center"/>
          </w:tcPr>
          <w:p>
            <w:pPr>
              <w:pStyle w:val="10"/>
              <w:bidi w:val="0"/>
              <w:jc w:val="center"/>
              <w:rPr>
                <w:rFonts w:hint="eastAsia"/>
              </w:rPr>
            </w:pPr>
          </w:p>
        </w:tc>
      </w:tr>
    </w:tbl>
    <w:p>
      <w:pPr>
        <w:keepNext w:val="0"/>
        <w:keepLines w:val="0"/>
        <w:pageBreakBefore w:val="0"/>
        <w:kinsoku/>
        <w:wordWrap/>
        <w:overflowPunct/>
        <w:topLinePunct w:val="0"/>
        <w:autoSpaceDE/>
        <w:autoSpaceDN/>
        <w:bidi w:val="0"/>
        <w:adjustRightInd/>
        <w:snapToGrid/>
        <w:ind w:firstLine="480" w:firstLineChars="200"/>
        <w:rPr>
          <w:rFonts w:hint="default"/>
          <w:lang w:val="en-US" w:eastAsia="zh-CN"/>
        </w:rPr>
      </w:pPr>
    </w:p>
    <w:p>
      <w:pPr>
        <w:keepNext w:val="0"/>
        <w:keepLines w:val="0"/>
        <w:pageBreakBefore w:val="0"/>
        <w:kinsoku/>
        <w:wordWrap/>
        <w:overflowPunct/>
        <w:topLinePunct w:val="0"/>
        <w:autoSpaceDE/>
        <w:autoSpaceDN/>
        <w:bidi w:val="0"/>
        <w:adjustRightInd/>
        <w:snapToGrid/>
        <w:ind w:firstLine="480" w:firstLineChars="200"/>
        <w:rPr>
          <w:rFonts w:hint="default"/>
          <w:lang w:val="en-US" w:eastAsia="zh-CN"/>
        </w:rPr>
        <w:sectPr>
          <w:pgSz w:w="11906" w:h="16838"/>
          <w:pgMar w:top="1440" w:right="1800" w:bottom="1440" w:left="1800" w:header="851" w:footer="992" w:gutter="0"/>
          <w:cols w:space="425" w:num="1"/>
          <w:docGrid w:type="lines" w:linePitch="312" w:charSpace="0"/>
        </w:sectPr>
      </w:pPr>
    </w:p>
    <w:p>
      <w:pPr>
        <w:keepNext w:val="0"/>
        <w:keepLines w:val="0"/>
        <w:pageBreakBefore w:val="0"/>
        <w:numPr>
          <w:ilvl w:val="0"/>
          <w:numId w:val="1"/>
        </w:numPr>
        <w:kinsoku/>
        <w:wordWrap/>
        <w:overflowPunct/>
        <w:topLinePunct w:val="0"/>
        <w:autoSpaceDE/>
        <w:autoSpaceDN/>
        <w:bidi w:val="0"/>
        <w:adjustRightInd/>
        <w:snapToGrid/>
        <w:ind w:left="0" w:leftChars="0" w:firstLine="480" w:firstLineChars="200"/>
        <w:rPr>
          <w:rFonts w:hint="eastAsia"/>
          <w:b/>
          <w:bCs/>
          <w:lang w:val="en-US" w:eastAsia="zh-CN"/>
        </w:rPr>
      </w:pPr>
      <w:r>
        <w:rPr>
          <w:rFonts w:hint="eastAsia"/>
          <w:b/>
          <w:bCs/>
          <w:lang w:val="en-US" w:eastAsia="zh-CN"/>
        </w:rPr>
        <w:t>议题练习</w:t>
      </w:r>
    </w:p>
    <w:p>
      <w:pPr>
        <w:keepNext w:val="0"/>
        <w:keepLines w:val="0"/>
        <w:pageBreakBefore w:val="0"/>
        <w:widowControl w:val="0"/>
        <w:numPr>
          <w:ilvl w:val="0"/>
          <w:numId w:val="2"/>
        </w:numPr>
        <w:kinsoku/>
        <w:wordWrap/>
        <w:overflowPunct/>
        <w:topLinePunct w:val="0"/>
        <w:autoSpaceDE/>
        <w:autoSpaceDN/>
        <w:bidi w:val="0"/>
        <w:adjustRightInd/>
        <w:snapToGrid/>
        <w:ind w:firstLine="480" w:firstLineChars="200"/>
        <w:jc w:val="both"/>
        <w:rPr>
          <w:rFonts w:hint="eastAsia"/>
          <w:lang w:val="en-US" w:eastAsia="zh-CN"/>
        </w:rPr>
      </w:pPr>
      <w:r>
        <w:rPr>
          <w:rFonts w:hint="eastAsia"/>
          <w:lang w:val="en-US" w:eastAsia="zh-CN"/>
        </w:rPr>
        <w:t>专题</w:t>
      </w:r>
    </w:p>
    <w:p>
      <w:pPr>
        <w:keepNext w:val="0"/>
        <w:keepLines w:val="0"/>
        <w:pageBreakBefore w:val="0"/>
        <w:widowControl w:val="0"/>
        <w:numPr>
          <w:ilvl w:val="0"/>
          <w:numId w:val="3"/>
        </w:numPr>
        <w:kinsoku/>
        <w:wordWrap/>
        <w:overflowPunct/>
        <w:topLinePunct w:val="0"/>
        <w:autoSpaceDE/>
        <w:autoSpaceDN/>
        <w:bidi w:val="0"/>
        <w:adjustRightInd/>
        <w:snapToGrid/>
        <w:ind w:left="420" w:leftChars="0" w:hanging="420" w:firstLineChars="0"/>
        <w:jc w:val="both"/>
        <w:rPr>
          <w:rFonts w:hint="eastAsia"/>
          <w:lang w:val="en-US" w:eastAsia="zh-CN"/>
        </w:rPr>
      </w:pPr>
      <w:r>
        <w:rPr>
          <w:rFonts w:hint="eastAsia"/>
          <w:lang w:val="en-US" w:eastAsia="zh-CN"/>
        </w:rPr>
        <w:t>题目：</w:t>
      </w:r>
      <w:r>
        <w:rPr>
          <w:rFonts w:hint="eastAsia"/>
          <w:highlight w:val="none"/>
          <w:lang w:val="en-US" w:eastAsia="zh-CN"/>
        </w:rPr>
        <w:t>“三轮”驱动</w:t>
      </w:r>
      <w:r>
        <w:rPr>
          <w:rFonts w:hint="eastAsia"/>
          <w:lang w:val="en-US" w:eastAsia="zh-CN"/>
        </w:rPr>
        <w:t>，引领粤港澳大湾区高质量发展</w:t>
      </w:r>
    </w:p>
    <w:p>
      <w:pPr>
        <w:keepNext w:val="0"/>
        <w:keepLines w:val="0"/>
        <w:pageBreakBefore w:val="0"/>
        <w:widowControl/>
        <w:numPr>
          <w:ilvl w:val="0"/>
          <w:numId w:val="3"/>
        </w:numPr>
        <w:suppressLineNumbers w:val="0"/>
        <w:kinsoku/>
        <w:wordWrap/>
        <w:overflowPunct/>
        <w:topLinePunct w:val="0"/>
        <w:autoSpaceDE/>
        <w:autoSpaceDN/>
        <w:bidi w:val="0"/>
        <w:adjustRightInd/>
        <w:snapToGrid/>
        <w:ind w:left="420" w:leftChars="0" w:hanging="420" w:firstLineChars="0"/>
        <w:jc w:val="left"/>
        <w:rPr>
          <w:rFonts w:hint="eastAsia"/>
          <w:lang w:val="en-US" w:eastAsia="zh-CN"/>
        </w:rPr>
      </w:pPr>
      <w:r>
        <w:rPr>
          <w:rFonts w:hint="eastAsia"/>
          <w:lang w:val="en-US" w:eastAsia="zh-CN"/>
        </w:rPr>
        <w:t>选择原因：</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rPr>
          <w:rFonts w:hint="eastAsia"/>
          <w:lang w:val="en-US" w:eastAsia="zh-CN"/>
        </w:rPr>
      </w:pPr>
      <w:r>
        <w:rPr>
          <w:rFonts w:hint="eastAsia"/>
          <w:lang w:val="en-US" w:eastAsia="zh-CN"/>
        </w:rPr>
        <w:t>通过了解查阅白云金控内部新闻中心的集团动态板块及外部媒体的报道可以发现在过去2023年白云金控起到的主要贡献分别在提供金融服务，助力人才发展以及科技产业园项目的建设投资上，“三轮”即指的是归纳出来的这三大重点业务。其中这三项业务共通过各产融对接活动共对接企业超730家，沟通项目超650个，落地项目超90个，涉及金额超220亿元，切实带动了当地及整个产业链企业的经济增长，惠及了从中小微企业到学生群体等多方利益相关主体，对于科技创新、人才吸纳、盘活资金等各方面都起到了推进器的作用，促进了广州乃至整个大湾区的经济发展。</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rPr>
          <w:rFonts w:hint="eastAsia"/>
          <w:lang w:val="en-US" w:eastAsia="zh-CN"/>
        </w:rPr>
      </w:pPr>
      <w:r>
        <w:rPr>
          <w:rFonts w:hint="eastAsia"/>
          <w:lang w:val="en-US" w:eastAsia="zh-CN"/>
        </w:rPr>
        <w:t>作为</w:t>
      </w:r>
      <w:r>
        <w:rPr>
          <w:rFonts w:hint="default"/>
          <w:lang w:val="en-US" w:eastAsia="zh-CN"/>
        </w:rPr>
        <w:t>ESG</w:t>
      </w:r>
      <w:r>
        <w:rPr>
          <w:rFonts w:hint="eastAsia"/>
          <w:lang w:val="en-US" w:eastAsia="zh-CN"/>
        </w:rPr>
        <w:t>报告开篇作为讲述，不仅能与国家发展相联系，具有较高的站位，并且还与公司业务息息相关，让读者清楚白云金控的出色业绩与主营业务，对公司有个大致的了解，也方便下文报告对业务进一步的解析说明。</w:t>
      </w:r>
      <w:bookmarkStart w:id="0" w:name="_GoBack"/>
      <w:bookmarkEnd w:id="0"/>
    </w:p>
    <w:p>
      <w:pPr>
        <w:keepNext w:val="0"/>
        <w:keepLines w:val="0"/>
        <w:pageBreakBefore w:val="0"/>
        <w:widowControl/>
        <w:numPr>
          <w:ilvl w:val="0"/>
          <w:numId w:val="3"/>
        </w:numPr>
        <w:suppressLineNumbers w:val="0"/>
        <w:kinsoku/>
        <w:wordWrap/>
        <w:overflowPunct/>
        <w:topLinePunct w:val="0"/>
        <w:autoSpaceDE/>
        <w:autoSpaceDN/>
        <w:bidi w:val="0"/>
        <w:adjustRightInd/>
        <w:snapToGrid/>
        <w:ind w:left="420" w:leftChars="0" w:hanging="420" w:firstLineChars="0"/>
        <w:jc w:val="left"/>
        <w:rPr>
          <w:rFonts w:hint="default"/>
          <w:lang w:val="en-US" w:eastAsia="zh-CN"/>
        </w:rPr>
      </w:pPr>
      <w:r>
        <w:rPr>
          <w:rFonts w:hint="eastAsia"/>
          <w:lang w:val="en-US" w:eastAsia="zh-CN"/>
        </w:rPr>
        <w:t>主要内容/专题结构：</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eastAsia"/>
          <w:lang w:val="en-US" w:eastAsia="zh-CN"/>
        </w:rPr>
      </w:pPr>
      <w:r>
        <w:rPr>
          <w:rFonts w:hint="eastAsia"/>
          <w:lang w:val="en-US" w:eastAsia="zh-CN"/>
        </w:rPr>
        <w:t>总：先提出国家发展战略及习近平总书记视察广东重要讲话重要指示精神等要求，明确白云金控所在地的发展方向与侧重点，并围绕此要点对业务进行提炼概括，将国家要求与企业自身特点相结合。</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eastAsia"/>
          <w:lang w:val="en-US" w:eastAsia="zh-CN"/>
        </w:rPr>
      </w:pPr>
      <w:r>
        <w:rPr>
          <w:rFonts w:hint="eastAsia"/>
          <w:lang w:val="en-US" w:eastAsia="zh-CN"/>
        </w:rPr>
        <w:t>分：将上述主要业务分别进行拆分，对每一个业务板块的亮点绩效进行梳理展示，并对重点突出项目或取得优异成效的案例进行较为详细的披露，并充分利用图表、图片等多样形式进行展示。力求数据可视化、美观化。例如，针对其金融业务板块，可以设计出样式如下：</w:t>
      </w:r>
    </w:p>
    <w:p>
      <w:pPr>
        <w:pStyle w:val="10"/>
        <w:keepNext w:val="0"/>
        <w:keepLines w:val="0"/>
        <w:pageBreakBefore w:val="0"/>
        <w:widowControl w:val="0"/>
        <w:kinsoku/>
        <w:wordWrap/>
        <w:overflowPunct/>
        <w:topLinePunct w:val="0"/>
        <w:autoSpaceDE/>
        <w:autoSpaceDN/>
        <w:bidi w:val="0"/>
        <w:adjustRightInd/>
        <w:snapToGrid/>
        <w:spacing w:after="0"/>
        <w:textAlignment w:val="auto"/>
        <w:rPr>
          <w:rFonts w:hint="default"/>
          <w:lang w:val="en-US" w:eastAsia="zh-CN"/>
        </w:rPr>
      </w:pPr>
      <w:r>
        <w:rPr>
          <w:rFonts w:hint="default"/>
          <w:lang w:val="en-US" w:eastAsia="zh-CN"/>
        </w:rPr>
        <w:drawing>
          <wp:inline distT="0" distB="0" distL="114300" distR="114300">
            <wp:extent cx="5262245" cy="4863465"/>
            <wp:effectExtent l="0" t="0" r="20955" b="13335"/>
            <wp:docPr id="1" name="图片 1" descr="Wechat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echatIMG5"/>
                    <pic:cNvPicPr>
                      <a:picLocks noChangeAspect="1"/>
                    </pic:cNvPicPr>
                  </pic:nvPicPr>
                  <pic:blipFill>
                    <a:blip r:embed="rId6"/>
                    <a:stretch>
                      <a:fillRect/>
                    </a:stretch>
                  </pic:blipFill>
                  <pic:spPr>
                    <a:xfrm>
                      <a:off x="0" y="0"/>
                      <a:ext cx="5262245" cy="4863465"/>
                    </a:xfrm>
                    <a:prstGeom prst="rect">
                      <a:avLst/>
                    </a:prstGeom>
                  </pic:spPr>
                </pic:pic>
              </a:graphicData>
            </a:graphic>
          </wp:inline>
        </w:drawing>
      </w:r>
    </w:p>
    <w:p>
      <w:pPr>
        <w:pStyle w:val="3"/>
        <w:bidi w:val="0"/>
        <w:rPr>
          <w:rFonts w:hint="eastAsia"/>
          <w:lang w:val="en-US" w:eastAsia="zh-CN"/>
        </w:rPr>
      </w:pPr>
      <w:r>
        <w:t>图</w:t>
      </w:r>
      <w:r>
        <w:fldChar w:fldCharType="begin"/>
      </w:r>
      <w:r>
        <w:instrText xml:space="preserve">SEQ图\*ARABIC</w:instrText>
      </w:r>
      <w:r>
        <w:fldChar w:fldCharType="separate"/>
      </w:r>
      <w:r>
        <w:t>1</w:t>
      </w:r>
      <w:r>
        <w:fldChar w:fldCharType="end"/>
      </w:r>
      <w:r>
        <w:rPr>
          <w:rFonts w:hint="eastAsia"/>
          <w:lang w:eastAsia="zh-CN"/>
        </w:rPr>
        <w:t>专题展示示例</w:t>
      </w:r>
    </w:p>
    <w:p>
      <w:pPr>
        <w:keepNext w:val="0"/>
        <w:keepLines w:val="0"/>
        <w:pageBreakBefore w:val="0"/>
        <w:widowControl w:val="0"/>
        <w:numPr>
          <w:ilvl w:val="0"/>
          <w:numId w:val="3"/>
        </w:numPr>
        <w:kinsoku/>
        <w:wordWrap/>
        <w:overflowPunct/>
        <w:topLinePunct w:val="0"/>
        <w:autoSpaceDE/>
        <w:autoSpaceDN/>
        <w:bidi w:val="0"/>
        <w:adjustRightInd/>
        <w:snapToGrid/>
        <w:ind w:left="420" w:leftChars="0" w:hanging="420" w:firstLineChars="0"/>
        <w:jc w:val="both"/>
        <w:rPr>
          <w:rFonts w:hint="eastAsia"/>
          <w:lang w:val="en-US" w:eastAsia="zh-CN"/>
        </w:rPr>
      </w:pPr>
      <w:r>
        <w:rPr>
          <w:rFonts w:hint="eastAsia"/>
          <w:lang w:val="en-US" w:eastAsia="zh-CN"/>
        </w:rPr>
        <w:t>需收集资料：各板块相关业务项目总结，数据收集，内部及外部媒体报道，中央及广东省政府相关文件等资料。</w:t>
      </w:r>
    </w:p>
    <w:p>
      <w:pPr>
        <w:keepNext w:val="0"/>
        <w:keepLines w:val="0"/>
        <w:pageBreakBefore w:val="0"/>
        <w:widowControl w:val="0"/>
        <w:numPr>
          <w:ilvl w:val="0"/>
          <w:numId w:val="0"/>
        </w:numPr>
        <w:kinsoku/>
        <w:wordWrap/>
        <w:overflowPunct/>
        <w:topLinePunct w:val="0"/>
        <w:autoSpaceDE/>
        <w:autoSpaceDN/>
        <w:bidi w:val="0"/>
        <w:adjustRightInd/>
        <w:snapToGrid/>
        <w:jc w:val="both"/>
        <w:rPr>
          <w:rFonts w:hint="default"/>
          <w:lang w:val="en-US" w:eastAsia="zh-CN"/>
        </w:rPr>
        <w:sectPr>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jc w:val="both"/>
        <w:rPr>
          <w:rFonts w:hint="default"/>
          <w:lang w:val="en-US" w:eastAsia="zh-CN"/>
        </w:rPr>
      </w:pPr>
      <w:r>
        <w:rPr>
          <w:rFonts w:hint="eastAsia"/>
          <w:lang w:val="en-US" w:eastAsia="zh-CN"/>
        </w:rPr>
        <w:t>环境维度——以绿相伴，迈向美好未来</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textAlignment w:val="auto"/>
        <w:rPr>
          <w:rFonts w:hint="eastAsia"/>
          <w:lang w:val="en-US" w:eastAsia="zh-CN"/>
        </w:rPr>
      </w:pPr>
      <w:r>
        <w:rPr>
          <w:rFonts w:hint="default"/>
          <w:lang w:val="en-US" w:eastAsia="zh-CN"/>
        </w:rPr>
        <w:t>2020年9月，国家主席习近平在第75届联合国大会一般性辩论上宣布“我国将力争于2030年前实现碳达峰，于2060年前实现碳中和”。应对气候变化已然成为人类命运共同体的共同责任。</w:t>
      </w:r>
      <w:r>
        <w:rPr>
          <w:rFonts w:hint="eastAsia"/>
          <w:lang w:val="en-US" w:eastAsia="zh-CN"/>
        </w:rPr>
        <w:t>白云金控</w:t>
      </w:r>
      <w:r>
        <w:rPr>
          <w:rFonts w:hint="default"/>
          <w:lang w:val="en-US" w:eastAsia="zh-CN"/>
        </w:rPr>
        <w:t>作为</w:t>
      </w:r>
      <w:r>
        <w:rPr>
          <w:rFonts w:hint="eastAsia"/>
          <w:lang w:val="en-US" w:eastAsia="zh-CN"/>
        </w:rPr>
        <w:t>广州</w:t>
      </w:r>
      <w:r>
        <w:rPr>
          <w:rFonts w:hint="default"/>
          <w:lang w:val="en-US" w:eastAsia="zh-CN"/>
        </w:rPr>
        <w:t>白云区政府成立的区属国有产业金融平台，在白云区新一轮发展中，白云金控承载着推动区属国企改革创新、做强做大区内金融产业、服务区内产业升级和实体经济的时代担当和历史使命</w:t>
      </w:r>
      <w:r>
        <w:rPr>
          <w:rFonts w:hint="eastAsia"/>
          <w:lang w:val="en-US" w:eastAsia="zh-CN"/>
        </w:rPr>
        <w:t>。我们</w:t>
      </w:r>
      <w:r>
        <w:rPr>
          <w:rFonts w:hint="default"/>
          <w:lang w:val="en-US" w:eastAsia="zh-CN"/>
        </w:rPr>
        <w:t>全力应对气候机遇与挑战，力争在构建企业气候竞争力的同时，带动行业与</w:t>
      </w:r>
      <w:r>
        <w:rPr>
          <w:rFonts w:hint="eastAsia"/>
          <w:lang w:val="en-US" w:eastAsia="zh-CN"/>
        </w:rPr>
        <w:t>相关企业</w:t>
      </w:r>
      <w:r>
        <w:rPr>
          <w:rFonts w:hint="default"/>
          <w:lang w:val="en-US" w:eastAsia="zh-CN"/>
        </w:rPr>
        <w:t>共同实现应对气候变化目标。</w:t>
      </w: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default"/>
          <w:lang w:val="en-US" w:eastAsia="zh-CN"/>
        </w:rPr>
      </w:pPr>
      <w:r>
        <w:rPr>
          <w:rFonts w:hint="eastAsia"/>
          <w:lang w:val="en-US" w:eastAsia="zh-CN"/>
        </w:rPr>
        <w:t>白云金控</w:t>
      </w:r>
      <w:r>
        <w:rPr>
          <w:rFonts w:hint="default"/>
          <w:lang w:val="en-US" w:eastAsia="zh-CN"/>
        </w:rPr>
        <w:t>从实体风险和转型风险两个维度出发，参考气候、宏观环境、产业政策等相关文献研究，并结合</w:t>
      </w:r>
      <w:r>
        <w:rPr>
          <w:rFonts w:hint="eastAsia"/>
          <w:lang w:val="en-US" w:eastAsia="zh-CN"/>
        </w:rPr>
        <w:t>我们</w:t>
      </w:r>
      <w:r>
        <w:rPr>
          <w:rFonts w:hint="default"/>
          <w:lang w:val="en-US" w:eastAsia="zh-CN"/>
        </w:rPr>
        <w:t>自身业务情况，对气候变化对自身业务产生的影响进行了识别与评估。</w:t>
      </w:r>
    </w:p>
    <w:p>
      <w:pPr>
        <w:pStyle w:val="3"/>
        <w:rPr>
          <w:rFonts w:hint="eastAsia" w:eastAsia="宋体"/>
          <w:lang w:eastAsia="zh-CN"/>
        </w:rPr>
      </w:pPr>
      <w:r>
        <w:t>表</w:t>
      </w:r>
      <w:r>
        <w:rPr>
          <w:rFonts w:hint="eastAsia"/>
          <w:lang w:val="en-US" w:eastAsia="zh-CN"/>
        </w:rPr>
        <w:t>2</w:t>
      </w:r>
      <w:r>
        <w:rPr>
          <w:rFonts w:hint="eastAsia"/>
          <w:lang w:eastAsia="zh-CN"/>
        </w:rPr>
        <w:t xml:space="preserve"> 白云金控气候风险识别</w:t>
      </w:r>
    </w:p>
    <w:tbl>
      <w:tblPr>
        <w:tblW w:w="14435"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176"/>
        <w:gridCol w:w="1756"/>
        <w:gridCol w:w="6803"/>
        <w:gridCol w:w="2200"/>
        <w:gridCol w:w="2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336" w:hRule="atLeast"/>
        </w:trPr>
        <w:tc>
          <w:tcPr>
            <w:tcW w:w="1176" w:type="dxa"/>
            <w:tcBorders>
              <w:top w:val="single" w:color="75BD42" w:sz="12" w:space="0"/>
              <w:left w:val="nil"/>
              <w:bottom w:val="single" w:color="75BD42" w:sz="4" w:space="0"/>
              <w:right w:val="nil"/>
              <w:tl2br w:val="nil"/>
            </w:tcBorders>
            <w:shd w:val="clear" w:color="auto" w:fill="FFFFFF"/>
            <w:noWrap/>
            <w:vAlign w:val="center"/>
          </w:tcPr>
          <w:p>
            <w:pPr>
              <w:bidi w:val="0"/>
              <w:rPr>
                <w:rFonts w:hint="eastAsia"/>
                <w:sz w:val="21"/>
                <w:szCs w:val="21"/>
              </w:rPr>
            </w:pPr>
            <w:r>
              <w:rPr>
                <w:rFonts w:hint="eastAsia"/>
                <w:sz w:val="21"/>
                <w:szCs w:val="21"/>
                <w:lang w:val="en-US" w:eastAsia="zh-CN"/>
              </w:rPr>
              <w:t>风险类型</w:t>
            </w:r>
          </w:p>
        </w:tc>
        <w:tc>
          <w:tcPr>
            <w:tcW w:w="1756" w:type="dxa"/>
            <w:tcBorders>
              <w:top w:val="single" w:color="75BD42" w:sz="12" w:space="0"/>
              <w:left w:val="nil"/>
              <w:bottom w:val="single" w:color="75BD42" w:sz="4" w:space="0"/>
              <w:right w:val="nil"/>
            </w:tcBorders>
            <w:shd w:val="clear" w:color="auto" w:fill="FFFFFF"/>
            <w:noWrap/>
            <w:vAlign w:val="center"/>
          </w:tcPr>
          <w:p>
            <w:pPr>
              <w:bidi w:val="0"/>
              <w:rPr>
                <w:rFonts w:hint="eastAsia"/>
                <w:sz w:val="21"/>
                <w:szCs w:val="21"/>
              </w:rPr>
            </w:pPr>
            <w:r>
              <w:rPr>
                <w:rFonts w:hint="eastAsia"/>
                <w:sz w:val="21"/>
                <w:szCs w:val="21"/>
                <w:lang w:val="en-US" w:eastAsia="zh-CN"/>
              </w:rPr>
              <w:t>气候风险因子</w:t>
            </w:r>
          </w:p>
        </w:tc>
        <w:tc>
          <w:tcPr>
            <w:tcW w:w="6803" w:type="dxa"/>
            <w:tcBorders>
              <w:top w:val="single" w:color="75BD42" w:sz="12" w:space="0"/>
              <w:left w:val="nil"/>
              <w:bottom w:val="single" w:color="75BD42" w:sz="4" w:space="0"/>
              <w:right w:val="nil"/>
            </w:tcBorders>
            <w:shd w:val="clear" w:color="auto" w:fill="FFFFFF"/>
            <w:noWrap/>
            <w:vAlign w:val="center"/>
          </w:tcPr>
          <w:p>
            <w:pPr>
              <w:bidi w:val="0"/>
              <w:jc w:val="center"/>
              <w:rPr>
                <w:rFonts w:hint="eastAsia"/>
                <w:sz w:val="21"/>
                <w:szCs w:val="21"/>
              </w:rPr>
            </w:pPr>
            <w:r>
              <w:rPr>
                <w:rFonts w:hint="eastAsia"/>
                <w:sz w:val="21"/>
                <w:szCs w:val="21"/>
                <w:lang w:val="en-US" w:eastAsia="zh-CN"/>
              </w:rPr>
              <w:t>风险举例描述</w:t>
            </w:r>
          </w:p>
        </w:tc>
        <w:tc>
          <w:tcPr>
            <w:tcW w:w="2200" w:type="dxa"/>
            <w:tcBorders>
              <w:top w:val="single" w:color="75BD42" w:sz="12" w:space="0"/>
              <w:left w:val="nil"/>
              <w:bottom w:val="single" w:color="75BD42" w:sz="4" w:space="0"/>
              <w:right w:val="nil"/>
            </w:tcBorders>
            <w:shd w:val="clear" w:color="auto" w:fill="FFFFFF"/>
            <w:noWrap/>
            <w:vAlign w:val="center"/>
          </w:tcPr>
          <w:p>
            <w:pPr>
              <w:bidi w:val="0"/>
              <w:rPr>
                <w:rFonts w:hint="eastAsia"/>
                <w:sz w:val="21"/>
                <w:szCs w:val="21"/>
              </w:rPr>
            </w:pPr>
            <w:r>
              <w:rPr>
                <w:rFonts w:hint="eastAsia"/>
                <w:sz w:val="21"/>
                <w:szCs w:val="21"/>
                <w:lang w:val="en-US" w:eastAsia="zh-CN"/>
              </w:rPr>
              <w:t>财务影响</w:t>
            </w:r>
          </w:p>
        </w:tc>
        <w:tc>
          <w:tcPr>
            <w:tcW w:w="2500" w:type="dxa"/>
            <w:tcBorders>
              <w:top w:val="single" w:color="75BD42" w:sz="12" w:space="0"/>
              <w:left w:val="nil"/>
              <w:bottom w:val="single" w:color="75BD42" w:sz="4" w:space="0"/>
              <w:right w:val="nil"/>
            </w:tcBorders>
            <w:shd w:val="clear" w:color="auto" w:fill="FFFFFF"/>
            <w:noWrap/>
            <w:vAlign w:val="center"/>
          </w:tcPr>
          <w:p>
            <w:pPr>
              <w:bidi w:val="0"/>
              <w:rPr>
                <w:rFonts w:hint="eastAsia"/>
                <w:sz w:val="21"/>
                <w:szCs w:val="21"/>
              </w:rPr>
            </w:pPr>
            <w:r>
              <w:rPr>
                <w:rFonts w:hint="eastAsia"/>
                <w:sz w:val="21"/>
                <w:szCs w:val="21"/>
                <w:lang w:val="en-US" w:eastAsia="zh-CN"/>
              </w:rPr>
              <w:t>应对举措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360" w:hRule="atLeast"/>
        </w:trPr>
        <w:tc>
          <w:tcPr>
            <w:tcW w:w="1176" w:type="dxa"/>
            <w:vMerge w:val="restart"/>
            <w:tcBorders>
              <w:top w:val="single" w:color="75BD42" w:sz="4" w:space="0"/>
              <w:left w:val="nil"/>
              <w:bottom w:val="nil"/>
              <w:right w:val="nil"/>
            </w:tcBorders>
            <w:shd w:val="clear" w:color="auto" w:fill="FFFFFF"/>
            <w:noWrap/>
            <w:vAlign w:val="center"/>
          </w:tcPr>
          <w:p>
            <w:pPr>
              <w:bidi w:val="0"/>
              <w:rPr>
                <w:rFonts w:hint="eastAsia"/>
                <w:sz w:val="21"/>
                <w:szCs w:val="21"/>
              </w:rPr>
            </w:pPr>
            <w:r>
              <w:rPr>
                <w:rFonts w:hint="eastAsia"/>
                <w:sz w:val="21"/>
                <w:szCs w:val="21"/>
                <w:lang w:val="en-US" w:eastAsia="zh-CN"/>
              </w:rPr>
              <w:t>物理风险</w:t>
            </w:r>
          </w:p>
        </w:tc>
        <w:tc>
          <w:tcPr>
            <w:tcW w:w="1756" w:type="dxa"/>
            <w:tcBorders>
              <w:top w:val="single" w:color="75BD42" w:sz="4" w:space="0"/>
              <w:left w:val="nil"/>
              <w:bottom w:val="nil"/>
              <w:right w:val="nil"/>
            </w:tcBorders>
            <w:shd w:val="clear" w:color="auto" w:fill="FFFFFF"/>
            <w:noWrap/>
            <w:vAlign w:val="center"/>
          </w:tcPr>
          <w:p>
            <w:pPr>
              <w:bidi w:val="0"/>
              <w:jc w:val="center"/>
              <w:rPr>
                <w:rFonts w:hint="eastAsia"/>
                <w:sz w:val="21"/>
                <w:szCs w:val="21"/>
              </w:rPr>
            </w:pPr>
            <w:r>
              <w:rPr>
                <w:rFonts w:hint="eastAsia"/>
                <w:sz w:val="21"/>
                <w:szCs w:val="21"/>
                <w:lang w:val="en-US" w:eastAsia="zh-CN"/>
              </w:rPr>
              <w:t>气候灾害</w:t>
            </w:r>
          </w:p>
        </w:tc>
        <w:tc>
          <w:tcPr>
            <w:tcW w:w="6803" w:type="dxa"/>
            <w:tcBorders>
              <w:top w:val="single" w:color="75BD42" w:sz="4" w:space="0"/>
              <w:left w:val="nil"/>
              <w:bottom w:val="nil"/>
              <w:right w:val="nil"/>
            </w:tcBorders>
            <w:shd w:val="clear" w:color="auto" w:fill="FFFFFF"/>
            <w:vAlign w:val="center"/>
          </w:tcPr>
          <w:p>
            <w:pPr>
              <w:bidi w:val="0"/>
              <w:rPr>
                <w:rFonts w:hint="eastAsia"/>
                <w:sz w:val="21"/>
                <w:szCs w:val="21"/>
                <w:lang w:val="en-US" w:eastAsia="zh-CN"/>
              </w:rPr>
            </w:pPr>
            <w:r>
              <w:rPr>
                <w:rFonts w:hint="eastAsia"/>
                <w:sz w:val="21"/>
                <w:szCs w:val="21"/>
                <w:lang w:val="en-US" w:eastAsia="zh-CN"/>
              </w:rPr>
              <w:t>·地震、热带气旋、洪水等自然灾害，可能阻断公司/客户/投资标的业务的正常运营，以及潜在的健康安全事故风险，造成一定的经济损失；</w:t>
            </w:r>
          </w:p>
          <w:p>
            <w:pPr>
              <w:bidi w:val="0"/>
              <w:rPr>
                <w:rFonts w:hint="eastAsia"/>
                <w:sz w:val="21"/>
                <w:szCs w:val="21"/>
              </w:rPr>
            </w:pPr>
            <w:r>
              <w:rPr>
                <w:rFonts w:hint="eastAsia"/>
                <w:sz w:val="21"/>
                <w:szCs w:val="21"/>
                <w:lang w:val="en-US" w:eastAsia="zh-CN"/>
              </w:rPr>
              <w:t>·修复或更换损坏、毁坏导致资产成本上升。</w:t>
            </w:r>
          </w:p>
        </w:tc>
        <w:tc>
          <w:tcPr>
            <w:tcW w:w="2200" w:type="dxa"/>
            <w:tcBorders>
              <w:top w:val="single" w:color="75BD42" w:sz="4" w:space="0"/>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减少资金流入或增加资金流出，增加了公司财务负担。</w:t>
            </w:r>
          </w:p>
        </w:tc>
        <w:tc>
          <w:tcPr>
            <w:tcW w:w="2500" w:type="dxa"/>
            <w:vMerge w:val="restart"/>
            <w:tcBorders>
              <w:top w:val="single" w:color="75BD42" w:sz="4" w:space="0"/>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·利用大数据监测管理气候风险，做好灾害预警工作，制定应急预案；</w:t>
            </w:r>
            <w:r>
              <w:rPr>
                <w:rFonts w:hint="eastAsia"/>
                <w:sz w:val="21"/>
                <w:szCs w:val="21"/>
                <w:lang w:val="en-US" w:eastAsia="zh-CN"/>
              </w:rPr>
              <w:br w:type="textWrapping"/>
            </w:r>
            <w:r>
              <w:rPr>
                <w:rFonts w:hint="eastAsia"/>
                <w:sz w:val="21"/>
                <w:szCs w:val="21"/>
                <w:lang w:val="en-US" w:eastAsia="zh-CN"/>
              </w:rPr>
              <w:t>·布局绿色能源产业园区，采用光伏等新能源发电，助力节能减排；</w:t>
            </w:r>
            <w:r>
              <w:rPr>
                <w:rFonts w:hint="eastAsia"/>
                <w:sz w:val="21"/>
                <w:szCs w:val="21"/>
                <w:lang w:val="en-US" w:eastAsia="zh-CN"/>
              </w:rPr>
              <w:br w:type="textWrapping"/>
            </w:r>
            <w:r>
              <w:rPr>
                <w:rFonts w:hint="eastAsia"/>
                <w:sz w:val="21"/>
                <w:szCs w:val="21"/>
                <w:lang w:val="en-US" w:eastAsia="zh-CN"/>
              </w:rPr>
              <w:t>·投入使用具有气候韧性的基础设施，及时更新检测设备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700" w:hRule="atLeast"/>
        </w:trPr>
        <w:tc>
          <w:tcPr>
            <w:tcW w:w="1176" w:type="dxa"/>
            <w:vMerge w:val="continue"/>
            <w:tcBorders>
              <w:top w:val="nil"/>
              <w:left w:val="nil"/>
              <w:bottom w:val="nil"/>
              <w:right w:val="nil"/>
            </w:tcBorders>
            <w:shd w:val="clear" w:color="auto" w:fill="FFFFFF"/>
            <w:noWrap/>
            <w:vAlign w:val="center"/>
          </w:tcPr>
          <w:p>
            <w:pPr>
              <w:bidi w:val="0"/>
              <w:rPr>
                <w:rFonts w:hint="eastAsia"/>
                <w:sz w:val="21"/>
                <w:szCs w:val="21"/>
              </w:rPr>
            </w:pPr>
          </w:p>
        </w:tc>
        <w:tc>
          <w:tcPr>
            <w:tcW w:w="1756" w:type="dxa"/>
            <w:tcBorders>
              <w:top w:val="nil"/>
              <w:left w:val="nil"/>
              <w:bottom w:val="nil"/>
              <w:right w:val="nil"/>
            </w:tcBorders>
            <w:shd w:val="clear" w:color="auto" w:fill="FFFFFF"/>
            <w:noWrap/>
            <w:vAlign w:val="center"/>
          </w:tcPr>
          <w:p>
            <w:pPr>
              <w:bidi w:val="0"/>
              <w:jc w:val="center"/>
              <w:rPr>
                <w:rFonts w:hint="eastAsia"/>
                <w:sz w:val="21"/>
                <w:szCs w:val="21"/>
              </w:rPr>
            </w:pPr>
            <w:r>
              <w:rPr>
                <w:rFonts w:hint="eastAsia"/>
                <w:sz w:val="21"/>
                <w:szCs w:val="21"/>
                <w:lang w:val="en-US" w:eastAsia="zh-CN"/>
              </w:rPr>
              <w:t>气候变化</w:t>
            </w:r>
          </w:p>
        </w:tc>
        <w:tc>
          <w:tcPr>
            <w:tcW w:w="6803"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·高温气候条件变化，可能会造成公司或投资标的的能源消耗量增大，</w:t>
            </w:r>
            <w:r>
              <w:rPr>
                <w:rFonts w:hint="eastAsia"/>
                <w:sz w:val="21"/>
                <w:szCs w:val="21"/>
                <w:lang w:val="en-US" w:eastAsia="zh-CN"/>
              </w:rPr>
              <w:br w:type="textWrapping"/>
            </w:r>
            <w:r>
              <w:rPr>
                <w:rFonts w:hint="eastAsia"/>
                <w:sz w:val="21"/>
                <w:szCs w:val="21"/>
                <w:lang w:val="en-US" w:eastAsia="zh-CN"/>
              </w:rPr>
              <w:t>办公运营成本增加（如空调的频繁使用导致电费增加）；</w:t>
            </w:r>
            <w:r>
              <w:rPr>
                <w:rFonts w:hint="eastAsia"/>
                <w:sz w:val="21"/>
                <w:szCs w:val="21"/>
                <w:lang w:val="en-US" w:eastAsia="zh-CN"/>
              </w:rPr>
              <w:br w:type="textWrapping"/>
            </w:r>
            <w:r>
              <w:rPr>
                <w:rFonts w:hint="eastAsia"/>
                <w:sz w:val="21"/>
                <w:szCs w:val="21"/>
                <w:lang w:val="en-US" w:eastAsia="zh-CN"/>
              </w:rPr>
              <w:t>·高温天气将影响员工的工作效率及身体健康，可能造成医疗费用、高温补贴等支出增加；</w:t>
            </w:r>
            <w:r>
              <w:rPr>
                <w:rFonts w:hint="eastAsia"/>
                <w:sz w:val="21"/>
                <w:szCs w:val="21"/>
                <w:lang w:val="en-US" w:eastAsia="zh-CN"/>
              </w:rPr>
              <w:br w:type="textWrapping"/>
            </w:r>
            <w:r>
              <w:rPr>
                <w:rFonts w:hint="eastAsia"/>
                <w:sz w:val="21"/>
                <w:szCs w:val="21"/>
                <w:lang w:val="en-US" w:eastAsia="zh-CN"/>
              </w:rPr>
              <w:t>·平均气温上升将对数据中心正常运维产生潜在的不利影响，包括：影响数据中心设施设备的使用寿命；用于数据中心散热和冷却的能耗压力更大，产生更高的碳排放量；增加水资源消耗等。</w:t>
            </w:r>
          </w:p>
        </w:tc>
        <w:tc>
          <w:tcPr>
            <w:tcW w:w="2200"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公司需支出额外费用来维持正常运营，增加了运营成本。</w:t>
            </w:r>
          </w:p>
        </w:tc>
        <w:tc>
          <w:tcPr>
            <w:tcW w:w="2500" w:type="dxa"/>
            <w:vMerge w:val="continue"/>
            <w:tcBorders>
              <w:top w:val="nil"/>
              <w:left w:val="nil"/>
              <w:bottom w:val="nil"/>
              <w:right w:val="nil"/>
            </w:tcBorders>
            <w:shd w:val="clear" w:color="auto" w:fill="FFFFFF"/>
            <w:vAlign w:val="center"/>
          </w:tcPr>
          <w:p>
            <w:pPr>
              <w:bidi w:val="0"/>
              <w:rPr>
                <w:rFonts w:hint="eastAsia"/>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020" w:hRule="atLeast"/>
        </w:trPr>
        <w:tc>
          <w:tcPr>
            <w:tcW w:w="1176" w:type="dxa"/>
            <w:vMerge w:val="restart"/>
            <w:tcBorders>
              <w:top w:val="nil"/>
              <w:left w:val="nil"/>
              <w:right w:val="nil"/>
            </w:tcBorders>
            <w:shd w:val="clear" w:color="auto" w:fill="FFFFFF"/>
            <w:noWrap/>
            <w:vAlign w:val="center"/>
          </w:tcPr>
          <w:p>
            <w:pPr>
              <w:bidi w:val="0"/>
              <w:rPr>
                <w:rFonts w:hint="eastAsia"/>
                <w:sz w:val="21"/>
                <w:szCs w:val="21"/>
                <w:lang w:val="en-US" w:eastAsia="zh-CN"/>
              </w:rPr>
            </w:pPr>
            <w:r>
              <w:rPr>
                <w:rFonts w:hint="eastAsia"/>
                <w:sz w:val="21"/>
                <w:szCs w:val="21"/>
                <w:lang w:val="en-US" w:eastAsia="zh-CN"/>
              </w:rPr>
              <w:t>转型风险</w:t>
            </w:r>
          </w:p>
        </w:tc>
        <w:tc>
          <w:tcPr>
            <w:tcW w:w="1756" w:type="dxa"/>
            <w:tcBorders>
              <w:top w:val="nil"/>
              <w:left w:val="nil"/>
              <w:bottom w:val="nil"/>
              <w:right w:val="nil"/>
            </w:tcBorders>
            <w:shd w:val="clear" w:color="auto" w:fill="FFFFFF"/>
            <w:noWrap/>
            <w:vAlign w:val="center"/>
          </w:tcPr>
          <w:p>
            <w:pPr>
              <w:bidi w:val="0"/>
              <w:jc w:val="center"/>
              <w:rPr>
                <w:rFonts w:hint="eastAsia"/>
                <w:sz w:val="21"/>
                <w:szCs w:val="21"/>
              </w:rPr>
            </w:pPr>
            <w:r>
              <w:rPr>
                <w:rFonts w:hint="eastAsia"/>
                <w:sz w:val="21"/>
                <w:szCs w:val="21"/>
                <w:lang w:val="en-US" w:eastAsia="zh-CN"/>
              </w:rPr>
              <w:t>政策法律</w:t>
            </w:r>
          </w:p>
        </w:tc>
        <w:tc>
          <w:tcPr>
            <w:tcW w:w="6803"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・公司内部为了达到政策监管要求，可能需要投入资金聘请专业人员，短期内会提高管理成本。若未遵守相关政策和法律导致的与气候相关的监管处罚、财产损失；</w:t>
            </w:r>
            <w:r>
              <w:rPr>
                <w:rFonts w:hint="eastAsia"/>
                <w:sz w:val="21"/>
                <w:szCs w:val="21"/>
                <w:lang w:val="en-US" w:eastAsia="zh-CN"/>
              </w:rPr>
              <w:br w:type="textWrapping"/>
            </w:r>
            <w:r>
              <w:rPr>
                <w:rFonts w:hint="eastAsia"/>
                <w:sz w:val="21"/>
                <w:szCs w:val="21"/>
                <w:lang w:val="en-US" w:eastAsia="zh-CN"/>
              </w:rPr>
              <w:t>・气候相关政策、碳交易、碳关税以及对低碳产品的监管政策可能使</w:t>
            </w:r>
            <w:r>
              <w:rPr>
                <w:rFonts w:hint="eastAsia"/>
                <w:sz w:val="21"/>
                <w:szCs w:val="21"/>
                <w:lang w:val="en-US" w:eastAsia="zh-CN"/>
              </w:rPr>
              <w:br w:type="textWrapping"/>
            </w:r>
            <w:r>
              <w:rPr>
                <w:rFonts w:hint="eastAsia"/>
                <w:sz w:val="21"/>
                <w:szCs w:val="21"/>
                <w:lang w:val="en-US" w:eastAsia="zh-CN"/>
              </w:rPr>
              <w:t>投资标的公司和相关客户的合规和运营成本的增加。</w:t>
            </w:r>
          </w:p>
        </w:tc>
        <w:tc>
          <w:tcPr>
            <w:tcW w:w="2200"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增加成本或来自客户的收入有所下降</w:t>
            </w:r>
          </w:p>
        </w:tc>
        <w:tc>
          <w:tcPr>
            <w:tcW w:w="2500" w:type="dxa"/>
            <w:vMerge w:val="restart"/>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·遵守法律法规各项要</w:t>
            </w:r>
            <w:r>
              <w:rPr>
                <w:rFonts w:hint="eastAsia"/>
                <w:sz w:val="21"/>
                <w:szCs w:val="21"/>
                <w:lang w:val="en-US" w:eastAsia="zh-CN"/>
              </w:rPr>
              <w:br w:type="textWrapping"/>
            </w:r>
            <w:r>
              <w:rPr>
                <w:rFonts w:hint="eastAsia"/>
                <w:sz w:val="21"/>
                <w:szCs w:val="21"/>
                <w:lang w:val="en-US" w:eastAsia="zh-CN"/>
              </w:rPr>
              <w:t>求，做好战略规划部署，提高公司ESG治理水平；</w:t>
            </w:r>
            <w:r>
              <w:rPr>
                <w:rFonts w:hint="eastAsia"/>
                <w:sz w:val="21"/>
                <w:szCs w:val="21"/>
                <w:lang w:val="en-US" w:eastAsia="zh-CN"/>
              </w:rPr>
              <w:br w:type="textWrapping"/>
            </w:r>
            <w:r>
              <w:rPr>
                <w:rFonts w:hint="eastAsia"/>
                <w:sz w:val="21"/>
                <w:szCs w:val="21"/>
                <w:lang w:val="en-US" w:eastAsia="zh-CN"/>
              </w:rPr>
              <w:t>·加强对客户及投资标的公司筛查评估，引导客户进行绿色转型升级；</w:t>
            </w:r>
            <w:r>
              <w:rPr>
                <w:rFonts w:hint="eastAsia"/>
                <w:sz w:val="21"/>
                <w:szCs w:val="21"/>
                <w:lang w:val="en-US" w:eastAsia="zh-CN"/>
              </w:rPr>
              <w:br w:type="textWrapping"/>
            </w:r>
            <w:r>
              <w:rPr>
                <w:rFonts w:hint="eastAsia"/>
                <w:sz w:val="21"/>
                <w:szCs w:val="21"/>
                <w:lang w:val="en-US" w:eastAsia="zh-CN"/>
              </w:rPr>
              <w:t>·积极开发绿色金融等产品，顺应市场变化，把握机遇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1680" w:hRule="atLeast"/>
        </w:trPr>
        <w:tc>
          <w:tcPr>
            <w:tcW w:w="1176" w:type="dxa"/>
            <w:vMerge w:val="continue"/>
            <w:tcBorders>
              <w:left w:val="nil"/>
              <w:right w:val="nil"/>
            </w:tcBorders>
            <w:shd w:val="clear" w:color="auto" w:fill="FFFFFF"/>
            <w:noWrap/>
            <w:vAlign w:val="center"/>
          </w:tcPr>
          <w:p>
            <w:pPr>
              <w:bidi w:val="0"/>
              <w:rPr>
                <w:rFonts w:hint="eastAsia"/>
                <w:sz w:val="21"/>
                <w:szCs w:val="21"/>
              </w:rPr>
            </w:pPr>
          </w:p>
        </w:tc>
        <w:tc>
          <w:tcPr>
            <w:tcW w:w="1756" w:type="dxa"/>
            <w:tcBorders>
              <w:top w:val="nil"/>
              <w:left w:val="nil"/>
              <w:bottom w:val="nil"/>
              <w:right w:val="nil"/>
            </w:tcBorders>
            <w:shd w:val="clear" w:color="auto" w:fill="FFFFFF"/>
            <w:noWrap/>
            <w:vAlign w:val="center"/>
          </w:tcPr>
          <w:p>
            <w:pPr>
              <w:bidi w:val="0"/>
              <w:jc w:val="center"/>
              <w:rPr>
                <w:rFonts w:hint="eastAsia"/>
                <w:sz w:val="21"/>
                <w:szCs w:val="21"/>
              </w:rPr>
            </w:pPr>
            <w:r>
              <w:rPr>
                <w:rFonts w:hint="eastAsia"/>
                <w:sz w:val="21"/>
                <w:szCs w:val="21"/>
                <w:lang w:val="en-US" w:eastAsia="zh-CN"/>
              </w:rPr>
              <w:t>技术</w:t>
            </w:r>
          </w:p>
        </w:tc>
        <w:tc>
          <w:tcPr>
            <w:tcW w:w="6803"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・客户、投资标的转型至较低排放技术带来的成本支出；</w:t>
            </w:r>
            <w:r>
              <w:rPr>
                <w:rFonts w:hint="eastAsia"/>
                <w:sz w:val="21"/>
                <w:szCs w:val="21"/>
                <w:lang w:val="en-US" w:eastAsia="zh-CN"/>
              </w:rPr>
              <w:br w:type="textWrapping"/>
            </w:r>
            <w:r>
              <w:rPr>
                <w:rFonts w:hint="eastAsia"/>
                <w:sz w:val="21"/>
                <w:szCs w:val="21"/>
                <w:lang w:val="en-US" w:eastAsia="zh-CN"/>
              </w:rPr>
              <w:t>・公司自身、客户、投资标的对新技术投资未达到预期，需加大投入；</w:t>
            </w:r>
          </w:p>
        </w:tc>
        <w:tc>
          <w:tcPr>
            <w:tcW w:w="2200" w:type="dxa"/>
            <w:tcBorders>
              <w:top w:val="nil"/>
              <w:left w:val="nil"/>
              <w:bottom w:val="nil"/>
              <w:right w:val="nil"/>
            </w:tcBorders>
            <w:shd w:val="clear" w:color="auto" w:fill="FFFFFF"/>
            <w:vAlign w:val="center"/>
          </w:tcPr>
          <w:p>
            <w:pPr>
              <w:bidi w:val="0"/>
              <w:rPr>
                <w:rFonts w:hint="eastAsia"/>
                <w:sz w:val="21"/>
                <w:szCs w:val="21"/>
              </w:rPr>
            </w:pPr>
            <w:r>
              <w:rPr>
                <w:rFonts w:hint="eastAsia"/>
                <w:sz w:val="21"/>
                <w:szCs w:val="21"/>
                <w:lang w:val="en-US" w:eastAsia="zh-CN"/>
              </w:rPr>
              <w:t>传统客户受挫，收入来源减少，需开拓新客户群；投资方向转变或投入增加带来的成本上升</w:t>
            </w:r>
          </w:p>
        </w:tc>
        <w:tc>
          <w:tcPr>
            <w:tcW w:w="2500" w:type="dxa"/>
            <w:vMerge w:val="continue"/>
            <w:tcBorders>
              <w:top w:val="nil"/>
              <w:left w:val="nil"/>
              <w:bottom w:val="nil"/>
              <w:right w:val="nil"/>
            </w:tcBorders>
            <w:shd w:val="clear" w:color="auto" w:fill="FFFFFF"/>
            <w:vAlign w:val="center"/>
          </w:tcPr>
          <w:p>
            <w:pPr>
              <w:bidi w:val="0"/>
              <w:rPr>
                <w:rFonts w:hint="eastAsia"/>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360" w:hRule="atLeast"/>
        </w:trPr>
        <w:tc>
          <w:tcPr>
            <w:tcW w:w="1176" w:type="dxa"/>
            <w:vMerge w:val="continue"/>
            <w:tcBorders>
              <w:left w:val="nil"/>
              <w:bottom w:val="single" w:color="75BD42" w:sz="12" w:space="0"/>
              <w:right w:val="nil"/>
            </w:tcBorders>
            <w:shd w:val="clear" w:color="auto" w:fill="FFFFFF"/>
            <w:noWrap/>
            <w:vAlign w:val="center"/>
          </w:tcPr>
          <w:p>
            <w:pPr>
              <w:bidi w:val="0"/>
              <w:rPr>
                <w:rFonts w:hint="eastAsia"/>
                <w:sz w:val="21"/>
                <w:szCs w:val="21"/>
              </w:rPr>
            </w:pPr>
          </w:p>
        </w:tc>
        <w:tc>
          <w:tcPr>
            <w:tcW w:w="1756" w:type="dxa"/>
            <w:tcBorders>
              <w:top w:val="nil"/>
              <w:left w:val="nil"/>
              <w:bottom w:val="single" w:color="75BD42" w:sz="12" w:space="0"/>
              <w:right w:val="nil"/>
            </w:tcBorders>
            <w:shd w:val="clear" w:color="auto" w:fill="FFFFFF"/>
            <w:vAlign w:val="center"/>
          </w:tcPr>
          <w:p>
            <w:pPr>
              <w:bidi w:val="0"/>
              <w:jc w:val="center"/>
              <w:rPr>
                <w:rFonts w:hint="eastAsia"/>
                <w:sz w:val="21"/>
                <w:szCs w:val="21"/>
              </w:rPr>
            </w:pPr>
            <w:r>
              <w:rPr>
                <w:rFonts w:hint="eastAsia"/>
                <w:sz w:val="21"/>
                <w:szCs w:val="21"/>
                <w:lang w:val="en-US" w:eastAsia="zh-CN"/>
              </w:rPr>
              <w:t>市场偏好与</w:t>
            </w:r>
            <w:r>
              <w:rPr>
                <w:rFonts w:hint="eastAsia"/>
                <w:sz w:val="21"/>
                <w:szCs w:val="21"/>
                <w:lang w:val="en-US" w:eastAsia="zh-CN"/>
              </w:rPr>
              <w:br w:type="textWrapping"/>
            </w:r>
            <w:r>
              <w:rPr>
                <w:rFonts w:hint="eastAsia"/>
                <w:sz w:val="21"/>
                <w:szCs w:val="21"/>
                <w:lang w:val="en-US" w:eastAsia="zh-CN"/>
              </w:rPr>
              <w:t>声誉</w:t>
            </w:r>
          </w:p>
        </w:tc>
        <w:tc>
          <w:tcPr>
            <w:tcW w:w="6803" w:type="dxa"/>
            <w:tcBorders>
              <w:top w:val="nil"/>
              <w:left w:val="nil"/>
              <w:bottom w:val="single" w:color="75BD42" w:sz="12" w:space="0"/>
              <w:right w:val="nil"/>
            </w:tcBorders>
            <w:shd w:val="clear" w:color="auto" w:fill="FFFFFF"/>
            <w:vAlign w:val="center"/>
          </w:tcPr>
          <w:p>
            <w:pPr>
              <w:bidi w:val="0"/>
              <w:rPr>
                <w:rFonts w:hint="eastAsia"/>
                <w:sz w:val="21"/>
                <w:szCs w:val="21"/>
              </w:rPr>
            </w:pPr>
            <w:r>
              <w:rPr>
                <w:rFonts w:hint="eastAsia"/>
                <w:sz w:val="21"/>
                <w:szCs w:val="21"/>
                <w:lang w:val="en-US" w:eastAsia="zh-CN"/>
              </w:rPr>
              <w:t>・投资市场，股东和潜在投资者对气候风险管理和公司ESG表现的关</w:t>
            </w:r>
            <w:r>
              <w:rPr>
                <w:rFonts w:hint="eastAsia"/>
                <w:sz w:val="21"/>
                <w:szCs w:val="21"/>
                <w:lang w:val="en-US" w:eastAsia="zh-CN"/>
              </w:rPr>
              <w:br w:type="textWrapping"/>
            </w:r>
            <w:r>
              <w:rPr>
                <w:rFonts w:hint="eastAsia"/>
                <w:sz w:val="21"/>
                <w:szCs w:val="21"/>
                <w:lang w:val="en-US" w:eastAsia="zh-CN"/>
              </w:rPr>
              <w:t>注度提升；</w:t>
            </w:r>
            <w:r>
              <w:rPr>
                <w:rFonts w:hint="eastAsia"/>
                <w:sz w:val="21"/>
                <w:szCs w:val="21"/>
                <w:lang w:val="en-US" w:eastAsia="zh-CN"/>
              </w:rPr>
              <w:br w:type="textWrapping"/>
            </w:r>
            <w:r>
              <w:rPr>
                <w:rFonts w:hint="eastAsia"/>
                <w:sz w:val="21"/>
                <w:szCs w:val="21"/>
                <w:lang w:val="en-US" w:eastAsia="zh-CN"/>
              </w:rPr>
              <w:t>・社会公众和消费者的绿色消费偏好愈发明显，造成潜在的业务影响</w:t>
            </w:r>
            <w:r>
              <w:rPr>
                <w:rFonts w:hint="eastAsia"/>
                <w:sz w:val="21"/>
                <w:szCs w:val="21"/>
                <w:lang w:val="en-US" w:eastAsia="zh-CN"/>
              </w:rPr>
              <w:br w:type="textWrapping"/>
            </w:r>
            <w:r>
              <w:rPr>
                <w:rFonts w:hint="eastAsia"/>
                <w:sz w:val="21"/>
                <w:szCs w:val="21"/>
                <w:lang w:val="en-US" w:eastAsia="zh-CN"/>
              </w:rPr>
              <w:t>和市场声誉影响，对绿色金融等业务开发投入增加。</w:t>
            </w:r>
          </w:p>
        </w:tc>
        <w:tc>
          <w:tcPr>
            <w:tcW w:w="2200" w:type="dxa"/>
            <w:tcBorders>
              <w:top w:val="nil"/>
              <w:left w:val="nil"/>
              <w:bottom w:val="single" w:color="75BD42" w:sz="12" w:space="0"/>
              <w:right w:val="nil"/>
            </w:tcBorders>
            <w:shd w:val="clear" w:color="auto" w:fill="FFFFFF"/>
            <w:vAlign w:val="center"/>
          </w:tcPr>
          <w:p>
            <w:pPr>
              <w:bidi w:val="0"/>
              <w:rPr>
                <w:rFonts w:hint="eastAsia"/>
                <w:sz w:val="21"/>
                <w:szCs w:val="21"/>
              </w:rPr>
            </w:pPr>
            <w:r>
              <w:rPr>
                <w:rFonts w:hint="eastAsia"/>
                <w:sz w:val="21"/>
                <w:szCs w:val="21"/>
                <w:lang w:val="en-US" w:eastAsia="zh-CN"/>
              </w:rPr>
              <w:t>为取得更好的ESG表现，公司对自身治理</w:t>
            </w:r>
            <w:r>
              <w:rPr>
                <w:rFonts w:hint="eastAsia"/>
                <w:sz w:val="21"/>
                <w:szCs w:val="21"/>
                <w:lang w:val="en-US" w:eastAsia="zh-CN"/>
              </w:rPr>
              <w:br w:type="textWrapping"/>
            </w:r>
            <w:r>
              <w:rPr>
                <w:rFonts w:hint="eastAsia"/>
                <w:sz w:val="21"/>
                <w:szCs w:val="21"/>
                <w:lang w:val="en-US" w:eastAsia="zh-CN"/>
              </w:rPr>
              <w:t>成本增加，对与绿色相关的新业务投入增加，传统业务可能盈利能力下降，造成财务损失</w:t>
            </w:r>
          </w:p>
        </w:tc>
        <w:tc>
          <w:tcPr>
            <w:tcW w:w="2500" w:type="dxa"/>
            <w:vMerge w:val="continue"/>
            <w:tcBorders>
              <w:top w:val="nil"/>
              <w:left w:val="nil"/>
              <w:bottom w:val="single" w:color="75BD42" w:sz="12" w:space="0"/>
              <w:right w:val="nil"/>
            </w:tcBorders>
            <w:shd w:val="clear" w:color="auto" w:fill="FFFFFF"/>
            <w:vAlign w:val="center"/>
          </w:tcPr>
          <w:p>
            <w:pPr>
              <w:bidi w:val="0"/>
              <w:rPr>
                <w:rFonts w:hint="eastAsia"/>
                <w:sz w:val="21"/>
                <w:szCs w:val="21"/>
              </w:rPr>
            </w:pPr>
          </w:p>
        </w:tc>
      </w:tr>
    </w:tbl>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both"/>
        <w:rPr>
          <w:rFonts w:hint="default"/>
          <w:lang w:val="en-US" w:eastAsia="zh-CN"/>
        </w:rPr>
        <w:sectPr>
          <w:pgSz w:w="16838" w:h="11906" w:orient="landscape"/>
          <w:pgMar w:top="1800" w:right="1440" w:bottom="1800" w:left="1440" w:header="851" w:footer="992" w:gutter="0"/>
          <w:cols w:space="425" w:num="1"/>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480" w:firstLineChars="200"/>
        <w:jc w:val="both"/>
        <w:rPr>
          <w:rFonts w:hint="eastAsia"/>
          <w:lang w:val="en-US" w:eastAsia="zh-CN"/>
        </w:rPr>
      </w:pPr>
      <w:r>
        <w:rPr>
          <w:rFonts w:hint="eastAsia"/>
          <w:lang w:val="en-US" w:eastAsia="zh-CN"/>
        </w:rPr>
        <w:t>社会维度——以人为本，发展人才价值</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bCs/>
          <w:lang w:val="en-US" w:eastAsia="zh-CN"/>
        </w:rPr>
      </w:pPr>
      <w:r>
        <w:rPr>
          <w:rFonts w:hint="eastAsia"/>
          <w:b/>
          <w:bCs/>
          <w:lang w:val="en-US" w:eastAsia="zh-CN"/>
        </w:rPr>
        <w:t>3.1依法雇佣</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公司严格遵守相关法律法规，制定</w:t>
      </w:r>
      <w:r>
        <w:rPr>
          <w:rFonts w:hint="default"/>
          <w:color w:val="2E54A1" w:themeColor="accent1" w:themeShade="BF"/>
          <w:lang w:val="en-US" w:eastAsia="zh-CN"/>
        </w:rPr>
        <w:t>《劳动合同管理办法》</w:t>
      </w:r>
      <w:r>
        <w:rPr>
          <w:rStyle w:val="9"/>
          <w:rFonts w:hint="default"/>
          <w:color w:val="2E54A1" w:themeColor="accent1" w:themeShade="BF"/>
          <w:lang w:val="en-US" w:eastAsia="zh-CN"/>
        </w:rPr>
        <w:footnoteReference w:id="0"/>
      </w:r>
      <w:r>
        <w:rPr>
          <w:rFonts w:hint="default"/>
          <w:lang w:val="en-US" w:eastAsia="zh-CN"/>
        </w:rPr>
        <w:t>，坚决抵制和反对任何形式的雇佣童工和强迫劳动行为。公司招聘流程严谨，符合劳工法律和法规，严格核查应聘者身份信息，以防止雇佣未成年人。公司与全体员工签订劳动合同，并在合同中详细载列双方的权利义务，明确工作职位、工作地点、工作时间及报酬等相关信息，坚决维护员工合法权益，</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杜绝强迫劳动。202</w:t>
      </w:r>
      <w:r>
        <w:rPr>
          <w:rFonts w:hint="eastAsia"/>
          <w:lang w:val="en-US" w:eastAsia="zh-CN"/>
        </w:rPr>
        <w:t>3</w:t>
      </w:r>
      <w:r>
        <w:rPr>
          <w:rFonts w:hint="default"/>
          <w:lang w:val="en-US" w:eastAsia="zh-CN"/>
        </w:rPr>
        <w:t>年，公司未发生使用童工、强迫劳动的诉讼和违规案件。</w:t>
      </w:r>
      <w:r>
        <w:rPr>
          <w:rFonts w:hint="eastAsia"/>
          <w:lang w:val="en-US" w:eastAsia="zh-CN"/>
        </w:rPr>
        <w:t>（可列出公司劳动合同签订率，社会保险覆盖率，劳资纠纷事件等定量指标）</w:t>
      </w:r>
    </w:p>
    <w:p>
      <w:pPr>
        <w:pStyle w:val="10"/>
        <w:bidi w:val="0"/>
        <w:rPr>
          <w:rFonts w:hint="eastAsia"/>
          <w:lang w:val="en-US" w:eastAsia="zh-CN"/>
        </w:rPr>
      </w:pPr>
      <w:r>
        <w:rPr>
          <w:rFonts w:hint="eastAsia"/>
          <w:lang w:val="en-US" w:eastAsia="zh-CN"/>
        </w:rPr>
        <w:drawing>
          <wp:inline distT="0" distB="0" distL="114300" distR="114300">
            <wp:extent cx="5272405" cy="1418590"/>
            <wp:effectExtent l="0" t="0" r="10795" b="3810"/>
            <wp:docPr id="2" name="图片 2" descr="20240327-145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40327-145809"/>
                    <pic:cNvPicPr>
                      <a:picLocks noChangeAspect="1"/>
                    </pic:cNvPicPr>
                  </pic:nvPicPr>
                  <pic:blipFill>
                    <a:blip r:embed="rId7"/>
                    <a:stretch>
                      <a:fillRect/>
                    </a:stretch>
                  </pic:blipFill>
                  <pic:spPr>
                    <a:xfrm>
                      <a:off x="0" y="0"/>
                      <a:ext cx="5272405" cy="1418590"/>
                    </a:xfrm>
                    <a:prstGeom prst="rect">
                      <a:avLst/>
                    </a:prstGeom>
                  </pic:spPr>
                </pic:pic>
              </a:graphicData>
            </a:graphic>
          </wp:inline>
        </w:drawing>
      </w:r>
    </w:p>
    <w:p>
      <w:pPr>
        <w:pStyle w:val="3"/>
        <w:bidi w:val="0"/>
        <w:rPr>
          <w:rFonts w:hint="eastAsia" w:eastAsia="黑体"/>
          <w:lang w:val="en-US" w:eastAsia="zh-CN"/>
        </w:rPr>
      </w:pPr>
      <w:r>
        <w:t>图</w:t>
      </w:r>
      <w:r>
        <w:fldChar w:fldCharType="begin"/>
      </w:r>
      <w:r>
        <w:instrText xml:space="preserve">SEQ图\*ARABIC</w:instrText>
      </w:r>
      <w:r>
        <w:fldChar w:fldCharType="separate"/>
      </w:r>
      <w:r>
        <w:t>2</w:t>
      </w:r>
      <w:r>
        <w:fldChar w:fldCharType="end"/>
      </w:r>
      <w:r>
        <w:rPr>
          <w:rFonts w:hint="eastAsia"/>
          <w:lang w:val="en-US" w:eastAsia="zh-CN"/>
        </w:rPr>
        <w:t xml:space="preserve"> </w:t>
      </w:r>
      <w:r>
        <w:rPr>
          <w:rFonts w:hint="eastAsia"/>
          <w:lang w:eastAsia="zh-CN"/>
        </w:rPr>
        <w:t>白云金控雇佣情况</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bCs/>
          <w:lang w:val="en-US" w:eastAsia="zh-CN"/>
        </w:rPr>
      </w:pPr>
      <w:r>
        <w:rPr>
          <w:rFonts w:hint="eastAsia"/>
          <w:b/>
          <w:bCs/>
          <w:lang w:val="en-US" w:eastAsia="zh-CN"/>
        </w:rPr>
        <w:t>3.2员工安全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公司全方位关注员工的身心健康，打造卓越的职场体验。我们推出了</w:t>
      </w:r>
      <w:r>
        <w:rPr>
          <w:rFonts w:hint="eastAsia"/>
          <w:color w:val="1E386B" w:themeColor="accent1" w:themeShade="80"/>
          <w:lang w:val="en-US" w:eastAsia="zh-CN"/>
        </w:rPr>
        <w:t>日常恶劣天气干扰下的工作指南、冬季流感疫苗接种安排、疫情常态下的灵活办公指引</w:t>
      </w:r>
      <w:r>
        <w:rPr>
          <w:rFonts w:hint="eastAsia"/>
          <w:lang w:val="en-US" w:eastAsia="zh-CN"/>
        </w:rPr>
        <w:t>等一系列员工安全健康政策，并针对特殊情况开展保障员工权益的措施，如</w:t>
      </w:r>
      <w:r>
        <w:rPr>
          <w:rFonts w:hint="eastAsia"/>
          <w:color w:val="2E54A1" w:themeColor="accent1" w:themeShade="BF"/>
          <w:lang w:val="en-US" w:eastAsia="zh-CN"/>
        </w:rPr>
        <w:t>针对被封控员工的及时物资配送以及防护措施到位</w:t>
      </w:r>
      <w:r>
        <w:rPr>
          <w:rFonts w:hint="eastAsia"/>
          <w:lang w:val="en-US" w:eastAsia="zh-CN"/>
        </w:rPr>
        <w:t>等。此外，我们推出了</w:t>
      </w:r>
      <w:r>
        <w:rPr>
          <w:rFonts w:hint="eastAsia"/>
          <w:color w:val="2E54A1" w:themeColor="accent1" w:themeShade="BF"/>
          <w:lang w:val="en-US" w:eastAsia="zh-CN"/>
        </w:rPr>
        <w:t>定期身心健康讲座、心理咨询热线以及公众号</w:t>
      </w:r>
      <w:r>
        <w:rPr>
          <w:rFonts w:hint="eastAsia"/>
          <w:lang w:val="en-US" w:eastAsia="zh-CN"/>
        </w:rPr>
        <w:t>等一系列员工关爱活动，为白云金控员工及家人提供健康幸福保障。</w:t>
      </w:r>
    </w:p>
    <w:p>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textAlignment w:val="auto"/>
        <w:rPr>
          <w:rFonts w:hint="eastAsia"/>
          <w:color w:val="0000FF"/>
          <w:lang w:val="en-US" w:eastAsia="zh-CN"/>
        </w:rPr>
      </w:pPr>
      <w:r>
        <w:rPr>
          <w:rFonts w:hint="eastAsia"/>
          <w:color w:val="C81D31" w:themeColor="accent6" w:themeShade="BF"/>
          <w:lang w:val="en-US" w:eastAsia="zh-CN"/>
        </w:rPr>
        <w:t>案例：11·9消防安全宣传日防震消防应急逃生演练活动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2023年</w:t>
      </w:r>
      <w:r>
        <w:rPr>
          <w:rFonts w:hint="default"/>
          <w:lang w:val="en-US" w:eastAsia="zh-CN"/>
        </w:rPr>
        <w:t>11月9日，为进一步加强员工安全教育工作，增强全体员工防震、防火安全意识</w:t>
      </w:r>
      <w:r>
        <w:rPr>
          <w:rFonts w:hint="eastAsia"/>
          <w:lang w:val="en-US" w:eastAsia="zh-CN"/>
        </w:rPr>
        <w:t>，</w:t>
      </w:r>
      <w:r>
        <w:rPr>
          <w:rFonts w:hint="default"/>
          <w:lang w:val="en-US" w:eastAsia="zh-CN"/>
        </w:rPr>
        <w:t>白云金控开展11·9消防安全宣传日防震消防应急逃生演练活动。此次防震消防应急逃生演练活动紧扣2023年全国消防宣传月活动“预防为主生命至上”的主题，由集团安委办统筹、白云金控大厦保利物业项目部承办</w:t>
      </w:r>
      <w:r>
        <w:rPr>
          <w:rFonts w:hint="eastAsia"/>
          <w:lang w:val="en-US"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整个演练过程组织有序，大家配合默契，行动快速，有条不紊，疏散路线通畅，做到了“快、静、齐”有序疏散，取得了预期效果。</w:t>
      </w:r>
      <w:r>
        <w:rPr>
          <w:rFonts w:hint="eastAsia"/>
          <w:lang w:val="en-US" w:eastAsia="zh-CN"/>
        </w:rPr>
        <w:t>通过开展此次活动</w:t>
      </w:r>
      <w:r>
        <w:rPr>
          <w:rFonts w:hint="default"/>
          <w:lang w:val="en-US" w:eastAsia="zh-CN"/>
        </w:rPr>
        <w:t>普及</w:t>
      </w:r>
      <w:r>
        <w:rPr>
          <w:rFonts w:hint="eastAsia"/>
          <w:lang w:val="en-US" w:eastAsia="zh-CN"/>
        </w:rPr>
        <w:t>了</w:t>
      </w:r>
      <w:r>
        <w:rPr>
          <w:rFonts w:hint="default"/>
          <w:lang w:val="en-US" w:eastAsia="zh-CN"/>
        </w:rPr>
        <w:t>防灾减灾知识，培养应急疏散、自救互救能力，确保员工生命安全和白云金控大厦的消防安全，提高白云金控应对突发事件的处置能力</w:t>
      </w:r>
      <w:r>
        <w:rPr>
          <w:rFonts w:hint="eastAsia"/>
          <w:lang w:val="en-US" w:eastAsia="zh-CN"/>
        </w:rPr>
        <w:t>，为集团高质量发展保驾护航。</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2670175" cy="1534160"/>
            <wp:effectExtent l="0" t="0" r="22225" b="15240"/>
            <wp:docPr id="3" name="图片 1" descr="IMG_256"/>
            <wp:cNvGraphicFramePr/>
            <a:graphic xmlns:a="http://schemas.openxmlformats.org/drawingml/2006/main">
              <a:graphicData uri="http://schemas.openxmlformats.org/drawingml/2006/picture">
                <pic:pic xmlns:pic="http://schemas.openxmlformats.org/drawingml/2006/picture">
                  <pic:nvPicPr>
                    <pic:cNvPr id="3" name="图片 1" descr="IMG_256"/>
                    <pic:cNvPicPr/>
                  </pic:nvPicPr>
                  <pic:blipFill>
                    <a:blip r:embed="rId8"/>
                    <a:stretch>
                      <a:fillRect/>
                    </a:stretch>
                  </pic:blipFill>
                  <pic:spPr>
                    <a:xfrm>
                      <a:off x="0" y="0"/>
                      <a:ext cx="2670175" cy="153416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539365" cy="1534795"/>
            <wp:effectExtent l="0" t="0" r="635" b="1460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9"/>
                    <a:stretch>
                      <a:fillRect/>
                    </a:stretch>
                  </pic:blipFill>
                  <pic:spPr>
                    <a:xfrm>
                      <a:off x="0" y="0"/>
                      <a:ext cx="2539365" cy="1534795"/>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82240" cy="1696720"/>
            <wp:effectExtent l="0" t="0" r="10160" b="5080"/>
            <wp:docPr id="5" name="图片 3" descr="IMG_256"/>
            <wp:cNvGraphicFramePr/>
            <a:graphic xmlns:a="http://schemas.openxmlformats.org/drawingml/2006/main">
              <a:graphicData uri="http://schemas.openxmlformats.org/drawingml/2006/picture">
                <pic:pic xmlns:pic="http://schemas.openxmlformats.org/drawingml/2006/picture">
                  <pic:nvPicPr>
                    <pic:cNvPr id="5" name="图片 3" descr="IMG_256"/>
                    <pic:cNvPicPr/>
                  </pic:nvPicPr>
                  <pic:blipFill>
                    <a:blip r:embed="rId10"/>
                    <a:stretch>
                      <a:fillRect/>
                    </a:stretch>
                  </pic:blipFill>
                  <pic:spPr>
                    <a:xfrm>
                      <a:off x="0" y="0"/>
                      <a:ext cx="2682240" cy="169672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548890" cy="1699895"/>
            <wp:effectExtent l="0" t="0" r="16510" b="1905"/>
            <wp:docPr id="6" name="图片 4" descr="IMG_256"/>
            <wp:cNvGraphicFramePr/>
            <a:graphic xmlns:a="http://schemas.openxmlformats.org/drawingml/2006/main">
              <a:graphicData uri="http://schemas.openxmlformats.org/drawingml/2006/picture">
                <pic:pic xmlns:pic="http://schemas.openxmlformats.org/drawingml/2006/picture">
                  <pic:nvPicPr>
                    <pic:cNvPr id="6" name="图片 4" descr="IMG_256"/>
                    <pic:cNvPicPr/>
                  </pic:nvPicPr>
                  <pic:blipFill>
                    <a:blip r:embed="rId11"/>
                    <a:stretch>
                      <a:fillRect/>
                    </a:stretch>
                  </pic:blipFill>
                  <pic:spPr>
                    <a:xfrm>
                      <a:off x="0" y="0"/>
                      <a:ext cx="2548890" cy="1699895"/>
                    </a:xfrm>
                    <a:prstGeom prst="rect">
                      <a:avLst/>
                    </a:prstGeom>
                    <a:noFill/>
                    <a:ln w="9525">
                      <a:noFill/>
                    </a:ln>
                  </pic:spPr>
                </pic:pic>
              </a:graphicData>
            </a:graphic>
          </wp:inline>
        </w:drawing>
      </w:r>
    </w:p>
    <w:p>
      <w:pPr>
        <w:pStyle w:val="3"/>
        <w:bidi w:val="0"/>
      </w:pPr>
      <w:r>
        <w:t>图</w:t>
      </w:r>
      <w:r>
        <w:fldChar w:fldCharType="begin"/>
      </w:r>
      <w:r>
        <w:instrText xml:space="preserve">SEQ图\*ARABIC</w:instrText>
      </w:r>
      <w:r>
        <w:fldChar w:fldCharType="separate"/>
      </w:r>
      <w:r>
        <w:t>3</w:t>
      </w:r>
      <w:r>
        <w:fldChar w:fldCharType="end"/>
      </w:r>
      <w:r>
        <w:rPr>
          <w:rFonts w:hint="eastAsia"/>
          <w:lang w:val="en-US" w:eastAsia="zh-CN"/>
        </w:rPr>
        <w:t xml:space="preserve"> </w:t>
      </w:r>
      <w:r>
        <w:rPr>
          <w:rFonts w:hint="eastAsia"/>
          <w:lang w:eastAsia="zh-CN"/>
        </w:rPr>
        <w:t>11·9消防安全宣传日防震消防应急逃生演练活动过程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bCs/>
          <w:lang w:val="en-US" w:eastAsia="zh-CN"/>
        </w:rPr>
      </w:pPr>
      <w:r>
        <w:rPr>
          <w:rFonts w:hint="eastAsia"/>
          <w:b/>
          <w:bCs/>
          <w:lang w:val="en-US" w:eastAsia="zh-CN"/>
        </w:rPr>
        <w:t>3.3员工培训</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白云金控重视人才发展，为员工成长提供多元立体的人才培养体系，建立市场化、专业化的职业经理人管理体系，完善员工晋升机制，鼓励员工在有效激励、公平竞争以及互相合作的工作环境中不断成长。</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公司</w:t>
      </w:r>
      <w:r>
        <w:rPr>
          <w:rFonts w:hint="default"/>
          <w:lang w:val="en-US" w:eastAsia="zh-CN"/>
        </w:rPr>
        <w:t>设立多样化员工培育体系，根据员工发展的个性化需求，施行</w:t>
      </w:r>
      <w:r>
        <w:rPr>
          <w:rFonts w:hint="default"/>
          <w:color w:val="1E386B" w:themeColor="accent1" w:themeShade="80"/>
          <w:lang w:val="en-US" w:eastAsia="zh-CN"/>
        </w:rPr>
        <w:t>“线上+线下”“理论+实践”</w:t>
      </w:r>
      <w:r>
        <w:rPr>
          <w:rFonts w:hint="default"/>
          <w:lang w:val="en-US" w:eastAsia="zh-CN"/>
        </w:rPr>
        <w:t>的多维培训体系，鼓励员工持续深造学习和不断自我提升。针对员工技能提升，我们着力围绕</w:t>
      </w:r>
      <w:r>
        <w:rPr>
          <w:rFonts w:hint="default"/>
          <w:color w:val="1E386B" w:themeColor="accent1" w:themeShade="80"/>
          <w:lang w:val="en-US" w:eastAsia="zh-CN"/>
        </w:rPr>
        <w:t>“专业力、领导力、创新力”</w:t>
      </w:r>
      <w:r>
        <w:rPr>
          <w:rFonts w:hint="default"/>
          <w:lang w:val="en-US" w:eastAsia="zh-CN"/>
        </w:rPr>
        <w:t>维度培育人才；针对新生力量，我们聚焦培养数智化</w:t>
      </w:r>
      <w:r>
        <w:rPr>
          <w:rFonts w:hint="eastAsia"/>
          <w:lang w:val="en-US" w:eastAsia="zh-CN"/>
        </w:rPr>
        <w:t>金融服务型人才</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eastAsia"/>
          <w:lang w:val="en-US" w:eastAsia="zh-CN"/>
        </w:rPr>
        <w:t>（定性指标：汇总有关员工培训项目类别及其覆盖范围、目标，具体培训项目等；定量指标：培训课程总数、员工平均培训时长、受训员工覆盖率（按性别，职能类型，雇员类别等不同标准下分别划分）等）</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b/>
          <w:bCs/>
          <w:lang w:val="en-US" w:eastAsia="zh-CN"/>
        </w:rPr>
      </w:pPr>
      <w:r>
        <w:rPr>
          <w:rFonts w:hint="eastAsia"/>
          <w:b/>
          <w:bCs/>
          <w:lang w:val="en-US" w:eastAsia="zh-CN"/>
        </w:rPr>
        <w:t>3.4员工活动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白云金控定期组织多种类型的员工活动，帮助员工相互了解，激发员工潜力，平衡工作和生活，打造温暖且充满活力的职场环境</w:t>
      </w:r>
      <w:r>
        <w:rPr>
          <w:rFonts w:hint="default"/>
          <w:lang w:val="en-US" w:eastAsia="zh-CN"/>
        </w:rPr>
        <w:t>，提升员工凝聚力，增强员工的获得感和幸福感。</w:t>
      </w:r>
    </w:p>
    <w:p>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rPr>
          <w:rFonts w:hint="default"/>
          <w:color w:val="C81D31" w:themeColor="accent6" w:themeShade="BF"/>
          <w:lang w:val="en-US" w:eastAsia="zh-CN"/>
        </w:rPr>
      </w:pPr>
      <w:r>
        <w:rPr>
          <w:rFonts w:hint="eastAsia"/>
          <w:color w:val="C81D31" w:themeColor="accent6" w:themeShade="BF"/>
          <w:lang w:val="en-US" w:eastAsia="zh-CN"/>
        </w:rPr>
        <w:t>案例：“永热爱，敢向前”——白云金控2023年团建活动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为更好提升员工协作能力，进一步凝聚、增强团队执行力和向心力，</w:t>
      </w:r>
      <w:r>
        <w:rPr>
          <w:rFonts w:hint="eastAsia"/>
          <w:lang w:val="en-US" w:eastAsia="zh-CN"/>
        </w:rPr>
        <w:t>2023年</w:t>
      </w:r>
      <w:r>
        <w:rPr>
          <w:rFonts w:hint="default"/>
          <w:lang w:val="en-US" w:eastAsia="zh-CN"/>
        </w:rPr>
        <w:t>7月14日至15日，白云金控组织开展主题为“永热爱，敢向前”的拓展团建活动，这是三年疫情以来，白云金控举办的首次团建活动，集团及所属子公司140余人参加。</w:t>
      </w:r>
      <w:r>
        <w:rPr>
          <w:rFonts w:hint="eastAsia"/>
          <w:lang w:val="en-US" w:eastAsia="zh-CN"/>
        </w:rPr>
        <w:t>本次活动包含了歌曲乐器等才艺展示节目及欢乐毛毛虫、枕头大战、拔河比赛等趣味运动项目，同步开放嘉年华区域供大家自由挑战。</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通过本次团建活动，全体员工加强了沟通和交流，有效激发了员工的团队精神和合作意识，加深了彼此之间的了解和信任，增进了彼此之间的感情和友谊。过程中，小伙伴们积极思考、团结协作，共同克服困难，从游戏中体会到了身在集体中的快乐，以更好的身心状态投入到紧张的工作中。相信在今后的工作中，全体员工一定会继续发扬团结协作、奋发进取、勇于创新的精神，实现个人与企业价值的双向奔赴，继续为白云区高质量发展做出金控贡献。</w:t>
      </w:r>
    </w:p>
    <w:p>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1661795" cy="1133475"/>
            <wp:effectExtent l="0" t="0" r="14605" b="9525"/>
            <wp:docPr id="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6"/>
                    <pic:cNvPicPr>
                      <a:picLocks noChangeAspect="1"/>
                    </pic:cNvPicPr>
                  </pic:nvPicPr>
                  <pic:blipFill>
                    <a:blip r:embed="rId12"/>
                    <a:stretch>
                      <a:fillRect/>
                    </a:stretch>
                  </pic:blipFill>
                  <pic:spPr>
                    <a:xfrm>
                      <a:off x="0" y="0"/>
                      <a:ext cx="1661795" cy="113347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27835" cy="1125220"/>
            <wp:effectExtent l="0" t="0" r="24765" b="1778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3"/>
                    <a:stretch>
                      <a:fillRect/>
                    </a:stretch>
                  </pic:blipFill>
                  <pic:spPr>
                    <a:xfrm>
                      <a:off x="0" y="0"/>
                      <a:ext cx="1727835" cy="112522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12595" cy="1120775"/>
            <wp:effectExtent l="0" t="0" r="14605" b="22225"/>
            <wp:docPr id="9"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IMG_256"/>
                    <pic:cNvPicPr>
                      <a:picLocks noChangeAspect="1"/>
                    </pic:cNvPicPr>
                  </pic:nvPicPr>
                  <pic:blipFill>
                    <a:blip r:embed="rId14"/>
                    <a:stretch>
                      <a:fillRect/>
                    </a:stretch>
                  </pic:blipFill>
                  <pic:spPr>
                    <a:xfrm>
                      <a:off x="0" y="0"/>
                      <a:ext cx="1712595" cy="1120775"/>
                    </a:xfrm>
                    <a:prstGeom prst="rect">
                      <a:avLst/>
                    </a:prstGeom>
                    <a:noFill/>
                    <a:ln w="9525">
                      <a:noFill/>
                    </a:ln>
                  </pic:spPr>
                </pic:pic>
              </a:graphicData>
            </a:graphic>
          </wp:inline>
        </w:drawing>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1683385" cy="1122045"/>
            <wp:effectExtent l="0" t="0" r="18415" b="20955"/>
            <wp:docPr id="10"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56"/>
                    <pic:cNvPicPr>
                      <a:picLocks noChangeAspect="1"/>
                    </pic:cNvPicPr>
                  </pic:nvPicPr>
                  <pic:blipFill>
                    <a:blip r:embed="rId15"/>
                    <a:stretch>
                      <a:fillRect/>
                    </a:stretch>
                  </pic:blipFill>
                  <pic:spPr>
                    <a:xfrm>
                      <a:off x="0" y="0"/>
                      <a:ext cx="1683385" cy="112204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40535" cy="1131570"/>
            <wp:effectExtent l="0" t="0" r="12065" b="11430"/>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16"/>
                    <a:stretch>
                      <a:fillRect/>
                    </a:stretch>
                  </pic:blipFill>
                  <pic:spPr>
                    <a:xfrm>
                      <a:off x="0" y="0"/>
                      <a:ext cx="1740535" cy="113157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45615" cy="1137285"/>
            <wp:effectExtent l="0" t="0" r="6985" b="5715"/>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7"/>
                    <a:stretch>
                      <a:fillRect/>
                    </a:stretch>
                  </pic:blipFill>
                  <pic:spPr>
                    <a:xfrm>
                      <a:off x="0" y="0"/>
                      <a:ext cx="1745615" cy="1137285"/>
                    </a:xfrm>
                    <a:prstGeom prst="rect">
                      <a:avLst/>
                    </a:prstGeom>
                    <a:noFill/>
                    <a:ln w="9525">
                      <a:noFill/>
                    </a:ln>
                  </pic:spPr>
                </pic:pic>
              </a:graphicData>
            </a:graphic>
          </wp:inline>
        </w:drawing>
      </w:r>
    </w:p>
    <w:p>
      <w:pPr>
        <w:pStyle w:val="3"/>
        <w:bidi w:val="0"/>
        <w:rPr>
          <w:rFonts w:hint="eastAsia"/>
          <w:lang w:eastAsia="zh-CN"/>
        </w:rPr>
        <w:sectPr>
          <w:pgSz w:w="11906" w:h="16838"/>
          <w:pgMar w:top="1440" w:right="1800" w:bottom="1440" w:left="1800" w:header="851" w:footer="992" w:gutter="0"/>
          <w:cols w:space="425" w:num="1"/>
          <w:docGrid w:type="lines" w:linePitch="312" w:charSpace="0"/>
        </w:sectPr>
      </w:pPr>
      <w:r>
        <w:t>图</w:t>
      </w:r>
      <w:r>
        <w:fldChar w:fldCharType="begin"/>
      </w:r>
      <w:r>
        <w:instrText xml:space="preserve">SEQ图\*ARABIC</w:instrText>
      </w:r>
      <w:r>
        <w:fldChar w:fldCharType="separate"/>
      </w:r>
      <w:r>
        <w:t>4</w:t>
      </w:r>
      <w:r>
        <w:fldChar w:fldCharType="end"/>
      </w:r>
      <w:r>
        <w:rPr>
          <w:rFonts w:hint="eastAsia"/>
          <w:lang w:val="en-US" w:eastAsia="zh-CN"/>
        </w:rPr>
        <w:t xml:space="preserve"> </w:t>
      </w:r>
      <w:r>
        <w:rPr>
          <w:rFonts w:hint="eastAsia"/>
          <w:lang w:eastAsia="zh-CN"/>
        </w:rPr>
        <w:t>白云金控2023年团建活动过程</w:t>
      </w:r>
    </w:p>
    <w:p>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rPr>
          <w:rFonts w:hint="default" w:eastAsiaTheme="minor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治理维度——共治共享，弘扬企业文化</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bCs/>
          <w:lang w:val="en-US" w:eastAsia="zh-CN"/>
        </w:rPr>
      </w:pPr>
      <w:r>
        <w:rPr>
          <w:rFonts w:hint="eastAsia"/>
          <w:b/>
          <w:bCs/>
          <w:lang w:val="en-US" w:eastAsia="zh-CN"/>
        </w:rPr>
        <w:t>4.1 党建引领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白云金控始终坚持和加强党的全面领导，坚定不移推进全面从严治党、全面从严治企，着力深化党建业务融合，不断汇聚推动高质量发展的思想合力和组织合力。</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2023年里，面对集团日益增长的资产体量和勇毅前拓的业务领域，我们认真学习贯彻党的二十大精神和习近平总书记视察广东重要讲话、重要指示精神，坚持不懈用习近平新时代中国特色社会主义思想凝心铸魂，依托区属国企党校分教点，抓好党建理论和业务能力培训，推动党的建设与企业生产经营紧密融合，紧紧围绕白云区“6+6”现代产业集群，抢抓区“四大枢纽”和“一园两城三都四区”重大平台建设机遇，积极应对各种风险挑战，为推动区属国企高质量发展，实现国有资产保值增值做出了应有的贡献。</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655570" cy="1750695"/>
            <wp:effectExtent l="0" t="0" r="11430" b="1905"/>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18"/>
                    <a:stretch>
                      <a:fillRect/>
                    </a:stretch>
                  </pic:blipFill>
                  <pic:spPr>
                    <a:xfrm>
                      <a:off x="0" y="0"/>
                      <a:ext cx="2655570" cy="175069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2565400" cy="1741170"/>
            <wp:effectExtent l="0" t="0" r="0" b="1143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19"/>
                    <a:stretch>
                      <a:fillRect/>
                    </a:stretch>
                  </pic:blipFill>
                  <pic:spPr>
                    <a:xfrm>
                      <a:off x="0" y="0"/>
                      <a:ext cx="2565400" cy="1741170"/>
                    </a:xfrm>
                    <a:prstGeom prst="rect">
                      <a:avLst/>
                    </a:prstGeom>
                    <a:noFill/>
                    <a:ln w="9525">
                      <a:noFill/>
                    </a:ln>
                  </pic:spPr>
                </pic:pic>
              </a:graphicData>
            </a:graphic>
          </wp:inline>
        </w:drawing>
      </w:r>
    </w:p>
    <w:p>
      <w:pPr>
        <w:pStyle w:val="3"/>
        <w:keepNext w:val="0"/>
        <w:keepLines w:val="0"/>
        <w:widowControl/>
        <w:suppressLineNumbers w:val="0"/>
        <w:jc w:val="center"/>
      </w:pPr>
      <w:r>
        <w:t>图</w:t>
      </w:r>
      <w:r>
        <w:rPr>
          <w:rFonts w:hint="eastAsia"/>
          <w:lang w:val="en-US" w:eastAsia="zh-CN"/>
        </w:rPr>
        <w:t>5</w:t>
      </w:r>
      <w:r>
        <w:rPr>
          <w:rFonts w:hint="eastAsia"/>
          <w:lang w:eastAsia="zh-CN"/>
        </w:rPr>
        <w:t xml:space="preserve"> 白云金控党建展示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白云金控聚焦党业融合，从思想、组织、制度和实践层面不断丰富党建品牌落地的载体机制，持续发挥好党组织战斗堡垒和党员先锋模范作用。2023年，公司各级党组织与农行白云支行、黄石街党群服务中心、广东粤科风险投资管理有限公司、保利物业商业公司等政企单位开展共联共建4场，积极搭台赋能引导党员干部紧扣公司业务创新转型等重点工作聚力攻坚，激发党建“红色引擎”助力高质量发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b/>
          <w:bCs/>
          <w:lang w:val="en-US" w:eastAsia="zh-CN"/>
        </w:rPr>
      </w:pPr>
      <w:r>
        <w:rPr>
          <w:rFonts w:hint="eastAsia"/>
          <w:b/>
          <w:bCs/>
          <w:lang w:val="en-US" w:eastAsia="zh-CN"/>
        </w:rPr>
        <w:t>4.2 党建活动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党建引领聚合力。安永的党员干部们继承革命先烈的宝贵精神，于新时代承担“开路先锋、示范引领、突破攻坚”的重任，不忘初心，牢记使命，继续追逐中国梦，为发展社会主义现代化市场经济持续助力。安永积极开展党建活动并取得优异成绩</w:t>
      </w:r>
      <w:r>
        <w:rPr>
          <w:rFonts w:hint="eastAsia"/>
          <w:lang w:val="en-US" w:eastAsia="zh-CN"/>
        </w:rPr>
        <w:t>，在2023年共计举办新春走访慰问、党员干部纪法教育基地参观学习、“责任上肩、家访送廉”等系列主题活动10余场。</w:t>
      </w:r>
    </w:p>
    <w:p>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rPr>
          <w:rFonts w:hint="default"/>
          <w:color w:val="C81D31" w:themeColor="accent6" w:themeShade="BF"/>
          <w:lang w:val="en-US" w:eastAsia="zh-CN"/>
        </w:rPr>
      </w:pPr>
      <w:r>
        <w:rPr>
          <w:rFonts w:hint="eastAsia"/>
          <w:color w:val="C81D31" w:themeColor="accent6" w:themeShade="BF"/>
          <w:lang w:val="en-US" w:eastAsia="zh-CN"/>
        </w:rPr>
        <w:t>案例：“聚力乡村振兴 童心筑梦向未来”——白云金控党委开展主题党日活动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2023年</w:t>
      </w:r>
      <w:r>
        <w:rPr>
          <w:rFonts w:hint="default"/>
          <w:lang w:val="en-US" w:eastAsia="zh-CN"/>
        </w:rPr>
        <w:t>11月26日，白云金控党委与钟落潭镇米岗村党总支结对共建，开展以“聚力乡村振兴</w:t>
      </w:r>
      <w:r>
        <w:rPr>
          <w:rFonts w:hint="eastAsia"/>
          <w:lang w:val="en-US" w:eastAsia="zh-CN"/>
        </w:rPr>
        <w:t>，</w:t>
      </w:r>
      <w:r>
        <w:rPr>
          <w:rFonts w:hint="default"/>
          <w:lang w:val="en-US" w:eastAsia="zh-CN"/>
        </w:rPr>
        <w:t>童心筑梦向未来”为主题的党日活动。党员志愿者们为村内儿童送教、送学，把党和组织的温暖和关怀送到乡村的未来“花朵”中去。通过播放相关视频，全体人员一起重温了习近平总书记在今年六一国际儿童节面向广大青少年儿童的殷殷寄语和深切厚望</w:t>
      </w:r>
      <w:r>
        <w:rPr>
          <w:rFonts w:hint="eastAsia"/>
          <w:lang w:val="en-US" w:eastAsia="zh-CN"/>
        </w:rPr>
        <w:t>，并与孩子及父母一起互动体验DIY风筝制作。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此次活动中，党员志愿者以实际行动聚力乡村振兴，引领童心筑梦向未来。志愿者们还为参加活动的儿童派发由爱心企业捐赠的文具。下一步，集团党委将持续加强党建引领，搭建国企与村社结对帮扶机制，为白云乡村振兴和农业农村现代化奉献金控力量。</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1711960" cy="1284605"/>
            <wp:effectExtent l="0" t="0" r="15240" b="10795"/>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20"/>
                    <a:stretch>
                      <a:fillRect/>
                    </a:stretch>
                  </pic:blipFill>
                  <pic:spPr>
                    <a:xfrm>
                      <a:off x="0" y="0"/>
                      <a:ext cx="1711960" cy="1284605"/>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57045" cy="1318260"/>
            <wp:effectExtent l="0" t="0" r="20955" b="2540"/>
            <wp:docPr id="1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6"/>
                    <pic:cNvPicPr>
                      <a:picLocks noChangeAspect="1"/>
                    </pic:cNvPicPr>
                  </pic:nvPicPr>
                  <pic:blipFill>
                    <a:blip r:embed="rId21"/>
                    <a:stretch>
                      <a:fillRect/>
                    </a:stretch>
                  </pic:blipFill>
                  <pic:spPr>
                    <a:xfrm>
                      <a:off x="0" y="0"/>
                      <a:ext cx="1757045" cy="1318260"/>
                    </a:xfrm>
                    <a:prstGeom prst="rect">
                      <a:avLst/>
                    </a:prstGeom>
                    <a:noFill/>
                    <a:ln w="9525">
                      <a:noFill/>
                    </a:ln>
                  </pic:spPr>
                </pic:pic>
              </a:graphicData>
            </a:graphic>
          </wp:inline>
        </w:drawing>
      </w:r>
      <w:r>
        <w:rPr>
          <w:rFonts w:ascii="宋体" w:hAnsi="宋体" w:eastAsia="宋体" w:cs="宋体"/>
          <w:kern w:val="0"/>
          <w:sz w:val="24"/>
          <w:szCs w:val="24"/>
          <w:lang w:val="en-US" w:eastAsia="zh-CN" w:bidi="ar"/>
        </w:rPr>
        <w:drawing>
          <wp:inline distT="0" distB="0" distL="114300" distR="114300">
            <wp:extent cx="1725295" cy="1294130"/>
            <wp:effectExtent l="0" t="0" r="1905" b="1270"/>
            <wp:docPr id="17"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56"/>
                    <pic:cNvPicPr>
                      <a:picLocks noChangeAspect="1"/>
                    </pic:cNvPicPr>
                  </pic:nvPicPr>
                  <pic:blipFill>
                    <a:blip r:embed="rId22"/>
                    <a:stretch>
                      <a:fillRect/>
                    </a:stretch>
                  </pic:blipFill>
                  <pic:spPr>
                    <a:xfrm>
                      <a:off x="0" y="0"/>
                      <a:ext cx="1725295" cy="1294130"/>
                    </a:xfrm>
                    <a:prstGeom prst="rect">
                      <a:avLst/>
                    </a:prstGeom>
                    <a:noFill/>
                    <a:ln w="9525">
                      <a:noFill/>
                    </a:ln>
                  </pic:spPr>
                </pic:pic>
              </a:graphicData>
            </a:graphic>
          </wp:inline>
        </w:drawing>
      </w:r>
    </w:p>
    <w:p>
      <w:pPr>
        <w:pStyle w:val="3"/>
        <w:keepNext w:val="0"/>
        <w:keepLines w:val="0"/>
        <w:widowControl/>
        <w:suppressLineNumbers w:val="0"/>
        <w:jc w:val="center"/>
        <w:rPr>
          <w:rFonts w:hint="eastAsia" w:ascii="宋体" w:hAnsi="宋体" w:cs="宋体" w:eastAsiaTheme="minorEastAsia"/>
          <w:kern w:val="0"/>
          <w:sz w:val="24"/>
          <w:szCs w:val="24"/>
          <w:lang w:val="en-US" w:eastAsia="zh-CN" w:bidi="ar"/>
        </w:rPr>
      </w:pPr>
      <w:r>
        <w:t>图</w:t>
      </w:r>
      <w:r>
        <w:rPr>
          <w:rFonts w:hint="eastAsia"/>
          <w:lang w:val="en-US" w:eastAsia="zh-CN"/>
        </w:rPr>
        <w:t>6</w:t>
      </w:r>
      <w:r>
        <w:rPr>
          <w:rFonts w:hint="eastAsia"/>
          <w:lang w:eastAsia="zh-CN"/>
        </w:rPr>
        <w:t xml:space="preserve"> 白云金控</w:t>
      </w:r>
      <w:r>
        <w:rPr>
          <w:rFonts w:hint="eastAsia"/>
          <w:lang w:val="en-US" w:eastAsia="zh-CN"/>
        </w:rPr>
        <w:t>“聚力乡村振兴 童心筑梦向未来”</w:t>
      </w:r>
      <w:r>
        <w:rPr>
          <w:rFonts w:hint="eastAsia"/>
          <w:lang w:eastAsia="zh-CN"/>
        </w:rPr>
        <w:t>党建活动</w:t>
      </w:r>
    </w:p>
    <w:p>
      <w:pPr>
        <w:keepNext w:val="0"/>
        <w:keepLines w:val="0"/>
        <w:widowControl/>
        <w:suppressLineNumbers w:val="0"/>
        <w:jc w:val="left"/>
      </w:pPr>
    </w:p>
    <w:p>
      <w:pPr>
        <w:keepNext w:val="0"/>
        <w:keepLines w:val="0"/>
        <w:widowControl/>
        <w:suppressLineNumbers w:val="0"/>
        <w:jc w:val="left"/>
      </w:pPr>
    </w:p>
    <w:p>
      <w:pPr>
        <w:keepNext w:val="0"/>
        <w:keepLines w:val="0"/>
        <w:pageBreakBefore w:val="0"/>
        <w:widowControl w:val="0"/>
        <w:numPr>
          <w:ilvl w:val="0"/>
          <w:numId w:val="0"/>
        </w:numPr>
        <w:kinsoku/>
        <w:wordWrap/>
        <w:overflowPunct/>
        <w:topLinePunct w:val="0"/>
        <w:autoSpaceDE/>
        <w:autoSpaceDN/>
        <w:bidi w:val="0"/>
        <w:adjustRightInd/>
        <w:snapToGrid/>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中文正文">
    <w:altName w:val="苹方-简"/>
    <w:panose1 w:val="00000000000000000000"/>
    <w:charset w:val="00"/>
    <w:family w:val="auto"/>
    <w:pitch w:val="default"/>
    <w:sig w:usb0="00000000" w:usb1="00000000" w:usb2="00000000" w:usb3="00000000" w:csb0="00000000" w:csb1="00000000"/>
  </w:font>
  <w:font w:name="+西文正文">
    <w:altName w:val="苹方-简"/>
    <w:panose1 w:val="00000000000000000000"/>
    <w:charset w:val="00"/>
    <w:family w:val="auto"/>
    <w:pitch w:val="default"/>
    <w:sig w:usb0="00000000" w:usb1="00000000" w:usb2="00000000" w:usb3="00000000" w:csb0="00000000" w:csb1="00000000"/>
  </w:font>
  <w:font w:name="黑">
    <w:altName w:val="汉仪中黑KW"/>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Arial">
    <w:panose1 w:val="020B06040202020902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黑提">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88" w:lineRule="auto"/>
      </w:pPr>
      <w:r>
        <w:separator/>
      </w:r>
    </w:p>
  </w:footnote>
  <w:footnote w:type="continuationSeparator" w:id="3">
    <w:p>
      <w:pPr>
        <w:spacing w:before="0" w:after="0" w:line="288" w:lineRule="auto"/>
      </w:pPr>
      <w:r>
        <w:continuationSeparator/>
      </w:r>
    </w:p>
  </w:footnote>
  <w:footnote w:id="0">
    <w:p>
      <w:pPr>
        <w:pStyle w:val="4"/>
        <w:snapToGrid w:val="0"/>
        <w:rPr>
          <w:rFonts w:hint="default" w:eastAsia="Heiti SC Medium"/>
          <w:lang w:val="en-US" w:eastAsia="zh-CN"/>
        </w:rPr>
      </w:pPr>
      <w:r>
        <w:rPr>
          <w:rStyle w:val="9"/>
        </w:rPr>
        <w:footnoteRef/>
      </w:r>
      <w:r>
        <w:t xml:space="preserve"> </w:t>
      </w:r>
      <w:r>
        <w:rPr>
          <w:rFonts w:hint="eastAsia"/>
          <w:lang w:val="en-US" w:eastAsia="zh-CN"/>
        </w:rPr>
        <w:t>标蓝字体可根据公司自身具体情况进行更改，因在搜集资料时没有找到这部分内容，参考借鉴其他公司</w:t>
      </w:r>
      <w:r>
        <w:rPr>
          <w:rFonts w:hint="default"/>
          <w:lang w:val="en-US" w:eastAsia="zh-CN"/>
        </w:rPr>
        <w:t>ESG</w:t>
      </w:r>
      <w:r>
        <w:rPr>
          <w:rFonts w:hint="eastAsia"/>
          <w:lang w:val="en-US" w:eastAsia="zh-CN"/>
        </w:rPr>
        <w:t>报告内容。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8B035B"/>
    <w:multiLevelType w:val="singleLevel"/>
    <w:tmpl w:val="FE8B035B"/>
    <w:lvl w:ilvl="0" w:tentative="0">
      <w:start w:val="1"/>
      <w:numFmt w:val="decimal"/>
      <w:suff w:val="nothing"/>
      <w:lvlText w:val="（%1）"/>
      <w:lvlJc w:val="left"/>
    </w:lvl>
  </w:abstractNum>
  <w:abstractNum w:abstractNumId="1">
    <w:nsid w:val="3FFE06F0"/>
    <w:multiLevelType w:val="singleLevel"/>
    <w:tmpl w:val="3FFE06F0"/>
    <w:lvl w:ilvl="0" w:tentative="0">
      <w:start w:val="1"/>
      <w:numFmt w:val="bullet"/>
      <w:lvlText w:val=""/>
      <w:lvlJc w:val="left"/>
      <w:pPr>
        <w:ind w:left="420" w:hanging="420"/>
      </w:pPr>
      <w:rPr>
        <w:rFonts w:hint="default" w:ascii="Wingdings" w:hAnsi="Wingdings"/>
      </w:rPr>
    </w:lvl>
  </w:abstractNum>
  <w:abstractNum w:abstractNumId="2">
    <w:nsid w:val="65EE32D0"/>
    <w:multiLevelType w:val="singleLevel"/>
    <w:tmpl w:val="65EE32D0"/>
    <w:lvl w:ilvl="0" w:tentative="0">
      <w:start w:val="1"/>
      <w:numFmt w:val="bullet"/>
      <w:lvlText w:val=""/>
      <w:lvlJc w:val="left"/>
      <w:pPr>
        <w:ind w:left="420" w:hanging="420"/>
      </w:pPr>
      <w:rPr>
        <w:rFonts w:hint="default" w:ascii="Wingdings" w:hAnsi="Wingdings"/>
        <w:color w:val="C81D31" w:themeColor="accent6" w:themeShade="BF"/>
      </w:rPr>
    </w:lvl>
  </w:abstractNum>
  <w:abstractNum w:abstractNumId="3">
    <w:nsid w:val="6FFF3138"/>
    <w:multiLevelType w:val="singleLevel"/>
    <w:tmpl w:val="6FFF3138"/>
    <w:lvl w:ilvl="0" w:tentative="0">
      <w:start w:val="1"/>
      <w:numFmt w:val="chineseCounting"/>
      <w:suff w:val="nothing"/>
      <w:lvlText w:val="%1、"/>
      <w:lvlJc w:val="left"/>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F31EE"/>
    <w:rsid w:val="37FF31EE"/>
    <w:rsid w:val="5FE5565A"/>
    <w:rsid w:val="649B1B0E"/>
    <w:rsid w:val="7CFE7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20" w:line="288" w:lineRule="auto"/>
      <w:jc w:val="both"/>
    </w:pPr>
    <w:rPr>
      <w:rFonts w:eastAsia="Heiti SC Medium" w:asciiTheme="minorAscii" w:hAnsiTheme="minorAscii"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caption"/>
    <w:basedOn w:val="1"/>
    <w:next w:val="1"/>
    <w:unhideWhenUsed/>
    <w:qFormat/>
    <w:uiPriority w:val="0"/>
    <w:pPr>
      <w:spacing w:line="360" w:lineRule="auto"/>
      <w:jc w:val="center"/>
    </w:pPr>
    <w:rPr>
      <w:rFonts w:ascii="Arial" w:hAnsi="Arial"/>
      <w:sz w:val="21"/>
    </w:rPr>
  </w:style>
  <w:style w:type="paragraph" w:styleId="4">
    <w:name w:val="footnote text"/>
    <w:basedOn w:val="1"/>
    <w:uiPriority w:val="0"/>
    <w:pPr>
      <w:snapToGrid w:val="0"/>
      <w:jc w:val="left"/>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otnote reference"/>
    <w:basedOn w:val="7"/>
    <w:uiPriority w:val="0"/>
    <w:rPr>
      <w:vertAlign w:val="superscript"/>
    </w:rPr>
  </w:style>
  <w:style w:type="paragraph" w:customStyle="1" w:styleId="10">
    <w:name w:val="图表"/>
    <w:basedOn w:val="1"/>
    <w:qFormat/>
    <w:uiPriority w:val="0"/>
    <w:pPr>
      <w:spacing w:after="120" w:line="240" w:lineRule="auto"/>
      <w:jc w:val="center"/>
    </w:pPr>
    <w:rPr>
      <w:rFonts w:hint="eastAsia" w:ascii="Arial" w:hAnsi="Arial"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webp"/><Relationship Id="rId8" Type="http://schemas.openxmlformats.org/officeDocument/2006/relationships/image" Target="media/image3.webp"/><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7.webp"/><Relationship Id="rId21" Type="http://schemas.openxmlformats.org/officeDocument/2006/relationships/image" Target="media/image16.webp"/><Relationship Id="rId20" Type="http://schemas.openxmlformats.org/officeDocument/2006/relationships/image" Target="media/image15.webp"/><Relationship Id="rId2" Type="http://schemas.openxmlformats.org/officeDocument/2006/relationships/settings" Target="settings.xml"/><Relationship Id="rId19" Type="http://schemas.openxmlformats.org/officeDocument/2006/relationships/image" Target="media/image14.webp"/><Relationship Id="rId18" Type="http://schemas.openxmlformats.org/officeDocument/2006/relationships/image" Target="media/image13.webp"/><Relationship Id="rId17" Type="http://schemas.openxmlformats.org/officeDocument/2006/relationships/image" Target="media/image12.webp"/><Relationship Id="rId16" Type="http://schemas.openxmlformats.org/officeDocument/2006/relationships/image" Target="media/image11.webp"/><Relationship Id="rId15" Type="http://schemas.openxmlformats.org/officeDocument/2006/relationships/image" Target="media/image10.webp"/><Relationship Id="rId14" Type="http://schemas.openxmlformats.org/officeDocument/2006/relationships/image" Target="media/image9.webp"/><Relationship Id="rId13" Type="http://schemas.openxmlformats.org/officeDocument/2006/relationships/image" Target="media/image8.webp"/><Relationship Id="rId12" Type="http://schemas.openxmlformats.org/officeDocument/2006/relationships/image" Target="media/image7.webp"/><Relationship Id="rId11" Type="http://schemas.openxmlformats.org/officeDocument/2006/relationships/image" Target="media/image6.webp"/><Relationship Id="rId10" Type="http://schemas.openxmlformats.org/officeDocument/2006/relationships/image" Target="media/image5.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82</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2024-03-24T15:25:00Z</dcterms:created>
  <dc:creator>糖果色夏天</dc:creator>
  <cp:lastModifiedBy>糖果色夏天</cp:lastModifiedBy>
  <dcterms:modified xsi:type="dcterms:W3CDTF">2024-03-30T16:55:20Z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E807600AA37DE7FAE983FE656C743E04_41</vt:lpwstr>
  </property>
</Properties>
</file>