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CJK SC" w:cs="Noto Sans CJK SC" w:eastAsia="Noto Sans CJK SC" w:hAnsi="Noto Sans CJK SC"/>
          <w:b/>
          <w:bCs/>
          <w:color w:val="1F2937"/>
          <w:sz w:val="40"/>
          <w:szCs w:val="40"/>
        </w:rPr>
        <w:t xml:space="preserve">DCC 文控系统需求评审意见</w:t>
      </w:r>
    </w:p>
    <w:p>
      <w:pPr>
        <w:spacing w:after="60"/>
        <w:jc w:val="center"/>
      </w:pPr>
      <w:r>
        <w:rPr>
          <w:rFonts w:ascii="Noto Sans CJK SC" w:cs="Noto Sans CJK SC" w:eastAsia="Noto Sans CJK SC" w:hAnsi="Noto Sans CJK SC"/>
          <w:b/>
          <w:bCs/>
          <w:color w:val="1D4ED8"/>
          <w:sz w:val="28"/>
          <w:szCs w:val="28"/>
        </w:rPr>
        <w:t xml:space="preserve">（值得注意点）</w:t>
      </w:r>
    </w:p>
    <w:p>
      <w:pPr>
        <w:pBdr>
          <w:bottom w:val="single" w:color="1D4ED8" w:sz="6"/>
        </w:pBdr>
        <w:spacing w:after="260"/>
        <w:jc w:val="center"/>
      </w:pPr>
      <w:r>
        <w:rPr>
          <w:rFonts w:ascii="Noto Sans CJK SC" w:cs="Noto Sans CJK SC" w:eastAsia="Noto Sans CJK SC" w:hAnsi="Noto Sans CJK S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21"/>
                <w:szCs w:val="21"/>
              </w:rPr>
              <w:t xml:space="preserve">评审对象</w:t>
            </w:r>
          </w:p>
        </w:tc>
        <w:tc>
          <w:tcPr>
            <w:tcW w:type="dxa" w:w="71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color w:val="1F2937"/>
                <w:sz w:val="21"/>
                <w:szCs w:val="21"/>
              </w:rPr>
              <w:t xml:space="preserve">《DCC 文控系统需求说明书》V1.5.5（2026-07-22）</w:t>
            </w:r>
          </w:p>
        </w:tc>
      </w:tr>
      <w:tr>
        <w:tc>
          <w:tcPr>
            <w:tcW w:type="dxa" w:w="22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21"/>
                <w:szCs w:val="21"/>
              </w:rPr>
              <w:t xml:space="preserve">评审性质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color w:val="1F2937"/>
                <w:sz w:val="21"/>
                <w:szCs w:val="21"/>
              </w:rPr>
              <w:t xml:space="preserve">需求 / 设计层面的问题清单，供产品与开发上线前对齐</w:t>
            </w:r>
          </w:p>
        </w:tc>
      </w:tr>
      <w:tr>
        <w:tc>
          <w:tcPr>
            <w:tcW w:type="dxa" w:w="22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21"/>
                <w:szCs w:val="21"/>
              </w:rPr>
              <w:t xml:space="preserve">优先级定义</w:t>
            </w:r>
          </w:p>
        </w:tc>
        <w:tc>
          <w:tcPr>
            <w:tcW w:type="dxa" w:w="7160"/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color w:val="1F2937"/>
                <w:sz w:val="21"/>
                <w:szCs w:val="21"/>
              </w:rPr>
              <w:t xml:space="preserve">P0 开发前必须解决（阻断性 / 影响数据模型）；P1 需求或设计需明确，否则易返工；P2 文档收口与一致性</w:t>
            </w:r>
          </w:p>
        </w:tc>
      </w:tr>
      <w:tr>
        <w:tc>
          <w:tcPr>
            <w:tcW w:type="dxa" w:w="22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21"/>
                <w:szCs w:val="21"/>
              </w:rPr>
              <w:t xml:space="preserve">结论概述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oto Sans CJK SC" w:cs="Noto Sans CJK SC" w:eastAsia="Noto Sans CJK SC" w:hAnsi="Noto Sans CJK SC"/>
                <w:color w:val="1F2937"/>
                <w:sz w:val="21"/>
                <w:szCs w:val="21"/>
              </w:rPr>
              <w:t xml:space="preserve">框架与合规内核扎实，可开工；但 P0 三项须先定论，其中 T-01、T-02 影响数据库设计，T-03 决定核心卖点能否兑现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Noto Sans CJK SC" w:cs="Noto Sans CJK SC" w:eastAsia="Noto Sans CJK SC" w:hAnsi="Noto Sans CJK SC"/>
          <w:b/>
          <w:bCs/>
          <w:color w:val="1F2937"/>
          <w:sz w:val="30"/>
          <w:szCs w:val="30"/>
        </w:rPr>
        <w:t xml:space="preserve">一、总体评价（先说好的）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在提出问题前，先明确这份需求的底子是好的，评审意见不改变「可以开工」的整体判断：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合规内核抓得准：电子签名 + 服务器时间戳 + 岗位/权限快照 + 强制水印 + 全量审计日志 + 一键合规导出，直接对标实验室认可（CNAS/CMA）与 ISO 9001 文控要求。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版本状态机做对了：现行版本唯一、无确切生效日不得进入现行、新版生效旧版自动替代——这三条命门规则不仅写清楚，还落到了 §10.1 强制检查项 C1~C8 与验收要点。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对开发友好：方案 A 嵌入现网、技术栈对齐若依、dcc_ 表清单 + ER 图 + 外键/索引/建表顺序建议齐备。</w:t>
      </w:r>
    </w:p>
    <w:p>
      <w:pPr>
        <w:spacing w:after="120" w:line="300"/>
      </w:pP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以下问题按优先级排列，均给出「问题 / 影响 / 建议改法 / 涉及章节」，便于逐条处置。</w:t>
      </w:r>
    </w:p>
    <w:p>
      <w:pPr>
        <w:pStyle w:val="Heading1"/>
        <w:spacing w:after="160" w:before="320"/>
      </w:pPr>
      <w:r>
        <w:rPr>
          <w:rFonts w:ascii="Noto Sans CJK SC" w:cs="Noto Sans CJK SC" w:eastAsia="Noto Sans CJK SC" w:hAnsi="Noto Sans CJK SC"/>
          <w:b/>
          <w:bCs/>
          <w:color w:val="1F2937"/>
          <w:sz w:val="30"/>
          <w:szCs w:val="30"/>
        </w:rPr>
        <w:t xml:space="preserve">二、P0 — 开发前必须解决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T-01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product_type_id 存在语义冲突（影响数据库设计）</w:t>
      </w:r>
      <w:r>
        <w:rPr>
          <w:rFonts w:ascii="Noto Sans CJK SC" w:cs="Noto Sans CJK SC" w:eastAsia="Noto Sans CJK SC" w:hAnsi="Noto Sans CJK SC"/>
          <w:b/>
          <w:bCs/>
          <w:color w:val="B91C1C"/>
          <w:sz w:val="20"/>
          <w:szCs w:val="20"/>
        </w:rPr>
        <w:t xml:space="preserve">   [P0]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§8.2.3、§8.19、§19.1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同一字段被赋予两种互斥语义。§8.19 中 dcc_product_type 明确是业务领域（FOOD 食品检测 / ENV 环境 / PHARMA 医药），台账「产品类型」精准筛选一直用它；而 §19.1 又写「文件级别统一为三级，可沿用 product_type_id 映射 L1/L2/L3」。业务类型与文件级别是两个正交维度，塞进同一字段会直接打架。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筛选、合规导出按级别打包（§8.18.3 scope=FILE_LEVEL）、培训矩阵匹配都会引用到这个字段，语义不统一将导致查询结果错乱、导出范围错误，且后期难以纠正。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拆成两个独立字段——product_type_id（业务领域，保留 §8.19 语义）+ file_level（L1/L2/L3，§19.1 已提及的备选方案）。字典表相应拆分，dcc_product_type 不再兼作「文件级别」字典。此项须在建表前定稿。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T-02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三级表单「免审批 + 每次保存主版本 +1」的版本策略需重新设计</w:t>
      </w:r>
      <w:r>
        <w:rPr>
          <w:rFonts w:ascii="Noto Sans CJK SC" w:cs="Noto Sans CJK SC" w:eastAsia="Noto Sans CJK SC" w:hAnsi="Noto Sans CJK SC"/>
          <w:b/>
          <w:bCs/>
          <w:color w:val="B91C1C"/>
          <w:sz w:val="20"/>
          <w:szCs w:val="20"/>
        </w:rPr>
        <w:t xml:space="preserve">   [P0]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§1.5、§19.1、§19.4、§19.6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三级表单可网页直接编辑、免审批，且每次保存主版本 +1。隐患一：版本号爆炸与语义混乱——常改表单很快到 20.0、50.0，而正式审批升版也是主版本 +1，两套动作共用同一版本体系。隐患二：合规口子——受控表单可不经审批随意改内容还自动升版，外审现场可能追问「表单变更由谁复核」。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版本历史被高频保存淹没，审计可读性下降；受控/非受控边界模糊，存在被判「文件失控」的合规风险。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为三级表单单列一套轻量版本标识（如 r1/r2 或时间戳版本），与审批升版的 1.0/2.0 体系区分；或采用「免审批快照 + 定期/触发式正式升版」的双层机制。至少明确：谁有权改、改动是否需要事后可见的复核痕迹。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T-03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合规导出的「任意时间点重建（as_of_time）」须先确认数据支撑能力</w:t>
      </w:r>
      <w:r>
        <w:rPr>
          <w:rFonts w:ascii="Noto Sans CJK SC" w:cs="Noto Sans CJK SC" w:eastAsia="Noto Sans CJK SC" w:hAnsi="Noto Sans CJK SC"/>
          <w:b/>
          <w:bCs/>
          <w:color w:val="B91C1C"/>
          <w:sz w:val="20"/>
          <w:szCs w:val="20"/>
        </w:rPr>
        <w:t xml:space="preserve">   [P0]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§8.18.3、§8.18.4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导出「截至某历史时刻」的现行版本清单、当时的分发对象、当时的审批状态，需要系统能重建历史快照。若业务表只存当前状态 + 审计日志，任意时点重建要么依赖完整事件流回放，要么只能近似。文档未说明历史数据是否足以支撑。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这是系统的核心卖点之一。若数据模型不支持，上线后该功能只能给「当前状态」而非「历史时点状态」，与需求承诺不符，且事后补救成本极高（要回填历史）。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在数据建模阶段明确实现路径二选一：(a) 关键状态变更点存快照表；(b) 审计日志保证足够完整以支持回放。据此评估各业务表是否需要增加时序/快照字段。此项决定核心功能可行性，须在设计阶段拍板。</w:t>
      </w:r>
    </w:p>
    <w:p>
      <w:pPr>
        <w:pStyle w:val="Heading1"/>
        <w:spacing w:after="160" w:before="320"/>
      </w:pPr>
      <w:r>
        <w:rPr>
          <w:rFonts w:ascii="Noto Sans CJK SC" w:cs="Noto Sans CJK SC" w:eastAsia="Noto Sans CJK SC" w:hAnsi="Noto Sans CJK SC"/>
          <w:b/>
          <w:bCs/>
          <w:color w:val="1F2937"/>
          <w:sz w:val="30"/>
          <w:szCs w:val="30"/>
        </w:rPr>
        <w:t xml:space="preserve">三、P1 — 需求 / 设计需明确，否则易返工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T-04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「防泄密 / 防绕过打印」的定位与验收口径需修正</w:t>
      </w:r>
      <w:r>
        <w:rPr>
          <w:rFonts w:ascii="Noto Sans CJK SC" w:cs="Noto Sans CJK SC" w:eastAsia="Noto Sans CJK SC" w:hAnsi="Noto Sans CJK SC"/>
          <w:b/>
          <w:bCs/>
          <w:color w:val="B45309"/>
          <w:sz w:val="20"/>
          <w:szCs w:val="20"/>
        </w:rPr>
        <w:t xml:space="preserve">   [P1]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§1.2(7)、§5.4、§8.8.3、§8.17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文档出现「禁止浏览器无水印静默打印」「拦截系统打印」等表述，纯 Web 环境无法硬拦截（截图、拍照、OS 打印均可绕过）。文档虽半承认「绕过仍以水印溯源」，但需求语言用了「禁止/拦截」，易被误解为能真防住。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验收时若按「防住泄密」判定，将无法通过；也可能给业务方错误的安全预期。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将定位统一为「震慑 + 溯源」而非防泄密。首期既已明确不做 DRM，就把 §1.2 目标(7) 与验收口径改为「强制水印可溯源 + 敏感操作留痕」，删除「防住/拦截」类不可兑现的承诺。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T-05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自研审批引擎的能力边界与「不接现网 BPM」的取舍需复评</w:t>
      </w:r>
      <w:r>
        <w:rPr>
          <w:rFonts w:ascii="Noto Sans CJK SC" w:cs="Noto Sans CJK SC" w:eastAsia="Noto Sans CJK SC" w:hAnsi="Noto Sans CJK SC"/>
          <w:b/>
          <w:bCs/>
          <w:color w:val="B45309"/>
          <w:sz w:val="20"/>
          <w:szCs w:val="20"/>
        </w:rPr>
        <w:t xml:space="preserve">   [P1]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§6、§7.1(need_qa_approve)、§1.5(审批终审)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首期引擎仅 ANY/或签、ALL/会签，无条件路由、并行分支、加签/转办、超时升级。need_qa_approve 开关已预留但首期固定为否，说明质量批准节点迟早回归；届时「按分类做条件路由」简单引擎可能返工。且明确不接现网 BPM，意味着长期自维护。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二期引入质量批准或复杂流程时可能重构；重复造轮子增加长期维护成本。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明确记录该取舍的理由与二期演进路径；同时评估复用现网 BPM 换取条件路由/超时/加签能力的性价比，至少留出引擎可平滑接入外部流程的抽象层。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T-06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「到达生效日自动流转」的定时任务边界需补齐</w:t>
      </w:r>
      <w:r>
        <w:rPr>
          <w:rFonts w:ascii="Noto Sans CJK SC" w:cs="Noto Sans CJK SC" w:eastAsia="Noto Sans CJK SC" w:hAnsi="Noto Sans CJK SC"/>
          <w:b/>
          <w:bCs/>
          <w:color w:val="B45309"/>
          <w:sz w:val="20"/>
          <w:szCs w:val="20"/>
        </w:rPr>
        <w:t xml:space="preserve">   [P1]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§4.5、§10.1(C2)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生效流转依赖每日定时扫描，因此「新版生效瞬间旧版失效」实为扫描粒度而非真瞬间。生效日 0 点的失效时机、时区、任务失败补偿、幂等（重复执行不产生重复分发/培训任务）等边界，§4.5 未展开。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可能出现生效日当天旧版短时仍可打开、任务失败导致漏生效、重复执行造成脏数据。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明确生效判定时点语义（建议以生效日 00:00 服务器时区为准）、扫描周期、失败重试与补偿机制，并要求生效/失效/培训任务生成全部幂等。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T-07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培训任务对「岗位数据」的外部依赖需显式化并校验</w:t>
      </w:r>
      <w:r>
        <w:rPr>
          <w:rFonts w:ascii="Noto Sans CJK SC" w:cs="Noto Sans CJK SC" w:eastAsia="Noto Sans CJK SC" w:hAnsi="Noto Sans CJK SC"/>
          <w:b/>
          <w:bCs/>
          <w:color w:val="B45309"/>
          <w:sz w:val="20"/>
          <w:szCs w:val="20"/>
        </w:rPr>
        <w:t xml:space="preserve">   [P1]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§8.16、§1(与 HR 无强耦合)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培训任务按「岗位-文件矩阵」解析在岗人员，但文档强调与 HR 无强耦合、岗位来自组织快照。若现网组织中岗位数据不全或不准，培训任务目标人群就会错。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合规必做的培训联动可能因基础数据质量问题而漏发/错发，影响完成率统计与培训证明可信度。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把「依赖现网岗位数据的完整性与准确性」作为显式前置条件写入需求；解析结果为空/异常时告警文控；明确人员岗位变动后历史培训任务与证明的口径（已留 post_name 快照，建议补充「变动不影响历史证明」说明）。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T-08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缺少存量文件「冷启动 / 迁移」方案</w:t>
      </w:r>
      <w:r>
        <w:rPr>
          <w:rFonts w:ascii="Noto Sans CJK SC" w:cs="Noto Sans CJK SC" w:eastAsia="Noto Sans CJK SC" w:hAnsi="Noto Sans CJK SC"/>
          <w:b/>
          <w:bCs/>
          <w:color w:val="B45309"/>
          <w:sz w:val="20"/>
          <w:szCs w:val="20"/>
        </w:rPr>
        <w:t xml:space="preserve">   [P1]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全文（首期范围 §13 未覆盖）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首期上线时，历史纸质/电子受控文件如何初始导入、版本起点是否统一从 1.0 计、是否设双轨试运行期，需求中未提及。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文控系统落地最痛点往往是存量迁移；缺方案会导致上线即面临「新系统空库、旧文件仍在线下流转」的双轨混乱。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补充一节「上线数据初始化与迁移」：存量文件批量导入方式、历史版本起点规则、纸质受控份存量登记、试运行/双轨期与切换标准。</w:t>
      </w:r>
    </w:p>
    <w:p>
      <w:pPr>
        <w:pStyle w:val="Heading1"/>
        <w:spacing w:after="160" w:before="320"/>
      </w:pPr>
      <w:r>
        <w:rPr>
          <w:rFonts w:ascii="Noto Sans CJK SC" w:cs="Noto Sans CJK SC" w:eastAsia="Noto Sans CJK SC" w:hAnsi="Noto Sans CJK SC"/>
          <w:b/>
          <w:bCs/>
          <w:color w:val="1F2937"/>
          <w:sz w:val="30"/>
          <w:szCs w:val="30"/>
        </w:rPr>
        <w:t xml:space="preserve">四、P2 — 文档收口与一致性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T-09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密级字段注释与「仅两档」表述不一致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§1.5 vs §8.2.3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§1.5 定义密级仅「内部 / 机密」两档，但 §8.2.3 字段 security_level 注释仍写 PUBLIC / INTERNAL / SECRET（一般/内部/机密）。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开发按字段注释实现会多出「一般/公开」档，与业务约定不符。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统一为两档，字段注释同步收窄（枚举值可保留扩展位，但注释需说明首期仅启用 INTERNAL/SECRET）。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T-10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数据域文字与字段取值不一致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§1.5、§5.2 vs §8.2.3(access_domain)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文字表述「首期仅生产/研发」，字段 access_domain 取值为 ALL / PROD / RD（含 ALL）。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「ALL」的适用场景未说明，开发对「全域可见文件」如何取值存在理解偏差。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明确 ALL 的用途（文控/审计全域可见的文件是否用 ALL），或将文字改为「业务文件仅 PROD/RD，全域文件用 ALL」，消除歧义。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T-11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同一规则多处重复，易改漏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强制水印、二次申请等散见 §5 / §7 / §10 / §19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核心规则在多章节反复出现，后续调整易遗漏其一，导致文档自相矛盾。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需求维护成本升高，版本迭代中出现规则前后不一致的风险。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设「全局强制规则」单一权威章节，其余章节引用而非复述；或在评审后做一次去重收口。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T-12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审计日志保留年限需与质量体系对齐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§10(13)、§12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审计日志保留「≥3 年（配置）」。CNAS/CMA 对记录保存年限通常有明确要求，3 年可能偏短。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若低于体系要求年限，外审可能判不符合项。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与质量体系确认最低保存年限（可能为 6 年或与产品/项目生命周期挂钩），将默认值对齐后再配置化。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T-13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签收前后的查看权限授予时点表述略绕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§4.5(5)、§8.7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员工「默认只能打开已分发给自己的文件」，签收后「获得该版本查看权限」；但签收前需预览满 N 秒才可签收，说明分发即已给预览权。授予时点（分发时 vs 签收后）表述不够清晰。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开发可能实现成「签收前无法预览」，与「预览满 N 秒才可签收」的流程冲突。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明确「分发即授予预览权（用于完成签收）、签收后授予持续查看权」的两段式表述，避免理解偏差。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T-14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外发外链 access_token 的安全细节需补充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§8.10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外发用 token 外链预览，若 token 置于 URL 可能经日志/Referer 泄露；一次性、绑定 IP、主动撤销等未细化。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外链令牌泄露会导致受控文件在有效期内被非授权访问。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补充 token 安全策略（避免明文置于 URL query、有效期 + 可撤销 + 访问审计），至少列为二期强化项。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color w:val="1D4ED8"/>
          <w:sz w:val="25"/>
          <w:szCs w:val="25"/>
        </w:rPr>
        <w:t xml:space="preserve">T-15　</w:t>
      </w:r>
      <w:r>
        <w:rPr>
          <w:rFonts w:ascii="Noto Sans CJK SC" w:cs="Noto Sans CJK SC" w:eastAsia="Noto Sans CJK SC" w:hAnsi="Noto Sans CJK SC"/>
          <w:b/>
          <w:bCs/>
          <w:color w:val="1F2937"/>
          <w:sz w:val="25"/>
          <w:szCs w:val="25"/>
        </w:rPr>
        <w:t xml:space="preserve">「10 秒内定位」是体验目标，非可客观判定的验收项</w:t>
      </w:r>
      <w:r>
        <w:rPr>
          <w:rFonts w:ascii="Noto Sans CJK SC" w:cs="Noto Sans CJK SC" w:eastAsia="Noto Sans CJK SC" w:hAnsi="Noto Sans CJK SC"/>
          <w:b/>
          <w:bCs/>
          <w:color w:val="047857"/>
          <w:sz w:val="20"/>
          <w:szCs w:val="20"/>
        </w:rPr>
        <w:t xml:space="preserve">   [P2]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涉及章节：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§1.2(8)、§8.2.2、§12、§14(8)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问题：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10 秒含人工点选，取决于用户行为，与 P95&lt;2s 的客观性能指标混在一起，验收时难以客观判定。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影响：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验收争议：以「10 秒」作为硬性通过条件时，达标与否难以举证。</w:t>
      </w:r>
    </w:p>
    <w:p>
      <w:pPr>
        <w:spacing w:after="90" w:line="30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建议改法：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把「检索 P95 &lt; 2s」作为可判定验收指标；「10 秒定位」作为体验目标单列，不作为硬性通过/不通过条件。</w:t>
      </w:r>
    </w:p>
    <w:p>
      <w:pPr>
        <w:pStyle w:val="Heading1"/>
        <w:spacing w:after="160" w:before="320"/>
      </w:pPr>
      <w:r>
        <w:rPr>
          <w:rFonts w:ascii="Noto Sans CJK SC" w:cs="Noto Sans CJK SC" w:eastAsia="Noto Sans CJK SC" w:hAnsi="Noto Sans CJK SC"/>
          <w:b/>
          <w:bCs/>
          <w:color w:val="1F2937"/>
          <w:sz w:val="30"/>
          <w:szCs w:val="30"/>
        </w:rPr>
        <w:t xml:space="preserve">五、处置建议一览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200"/>
        <w:gridCol w:w="3260"/>
      </w:tblGrid>
      <w:tr>
        <w:trPr>
          <w:tblHeader/>
        </w:trPr>
        <w:tc>
          <w:tcPr>
            <w:tcW w:type="dxa" w:w="900"/>
            <w:shd w:fill="E5E7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19"/>
                <w:szCs w:val="19"/>
              </w:rPr>
              <w:t xml:space="preserve">编号</w:t>
            </w:r>
          </w:p>
        </w:tc>
        <w:tc>
          <w:tcPr>
            <w:tcW w:type="dxa" w:w="4000"/>
            <w:shd w:fill="E5E7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19"/>
                <w:szCs w:val="19"/>
              </w:rPr>
              <w:t xml:space="preserve">标题</w:t>
            </w:r>
          </w:p>
        </w:tc>
        <w:tc>
          <w:tcPr>
            <w:tcW w:type="dxa" w:w="1200"/>
            <w:shd w:fill="E5E7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19"/>
                <w:szCs w:val="19"/>
              </w:rPr>
              <w:t xml:space="preserve">优先级</w:t>
            </w:r>
          </w:p>
        </w:tc>
        <w:tc>
          <w:tcPr>
            <w:tcW w:type="dxa" w:w="3260"/>
            <w:shd w:fill="E5E7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/>
                <w:bCs/>
                <w:color w:val="1F2937"/>
                <w:sz w:val="19"/>
                <w:szCs w:val="19"/>
              </w:rPr>
              <w:t xml:space="preserve">建议处置阶段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T-01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product_type_id 语义冲突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建表前定稿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T-02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三级表单版本策略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设计阶段定稿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T-03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合规导出时间点重建能力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91C1C"/>
                <w:sz w:val="19"/>
                <w:szCs w:val="19"/>
              </w:rPr>
              <w:t xml:space="preserve">P0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数据建模阶段拍板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T-04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防泄密/防绕过打印定位修正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需求收口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T-05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审批引擎能力边界与 BPM 取舍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设计阶段复评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T-06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生效定时任务边界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详设阶段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T-07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培训对岗位数据的依赖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需求补充 + 详设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T-08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存量迁移/冷启动方案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需求补充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T-09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密级字段注释一致性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文档收口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T-10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数据域取值一致性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文档收口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T-11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规则重复去重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文档收口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T-12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审计日志保留年限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与质量体系确认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T-13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签收权限授予时点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文档收口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T-14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外发 token 安全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二期强化</w:t>
            </w:r>
          </w:p>
        </w:tc>
      </w:tr>
      <w:tr>
        <w:tc>
          <w:tcPr>
            <w:tcW w:type="dxa" w:w="9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T-15</w:t>
            </w:r>
          </w:p>
        </w:tc>
        <w:tc>
          <w:tcPr>
            <w:tcW w:type="dxa" w:w="40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「10 秒定位」验收口径</w:t>
            </w:r>
          </w:p>
        </w:tc>
        <w:tc>
          <w:tcPr>
            <w:tcW w:type="dxa" w:w="120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047857"/>
                <w:sz w:val="19"/>
                <w:szCs w:val="19"/>
              </w:rPr>
              <w:t xml:space="preserve">P2</w:t>
            </w:r>
          </w:p>
        </w:tc>
        <w:tc>
          <w:tcPr>
            <w:tcW w:type="dxa" w:w="3260"/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1F2937"/>
                <w:sz w:val="19"/>
                <w:szCs w:val="19"/>
              </w:rPr>
              <w:t xml:space="preserve">验收标准调整</w:t>
            </w:r>
          </w:p>
        </w:tc>
      </w:tr>
    </w:tbl>
    <w:p>
      <w:pPr>
        <w:spacing w:after="60" w:before="160"/>
      </w:pPr>
      <w:r>
        <w:rPr>
          <w:rFonts w:ascii="Noto Sans CJK SC" w:cs="Noto Sans CJK SC" w:eastAsia="Noto Sans CJK SC" w:hAnsi="Noto Sans CJK SC"/>
          <w:b/>
          <w:bCs/>
          <w:color w:val="1D4ED8"/>
          <w:sz w:val="21"/>
          <w:szCs w:val="21"/>
        </w:rPr>
        <w:t xml:space="preserve">建议处置顺序：</w:t>
      </w:r>
      <w:r>
        <w:rPr>
          <w:rFonts w:ascii="Noto Sans CJK SC" w:cs="Noto Sans CJK SC" w:eastAsia="Noto Sans CJK SC" w:hAnsi="Noto Sans CJK SC"/>
          <w:color w:val="1F2937"/>
          <w:sz w:val="21"/>
          <w:szCs w:val="21"/>
        </w:rPr>
        <w:t xml:space="preserve">先关闭 T-01/T-02/T-03 三项 P0（影响数据库与核心功能），再推进 P1 需求补充与设计复评，P2 随文档下一版一并收口。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2026-07-23T03:30:33.626Z</dcterms:created>
  <dcterms:modified xsi:type="dcterms:W3CDTF">2026-07-23T03:30:33.640Z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