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宋体" w:hAnsi="宋体" w:eastAsia="宋体"/>
          <w:b w:val="0"/>
          <w:i w:val="0"/>
          <w:color w:val="888888"/>
          <w:sz w:val="18"/>
        </w:rPr>
        <w:t>股票研究 — 业绩更新报告</w:t>
      </w:r>
    </w:p>
    <w:p>
      <w:pPr>
        <w:spacing w:before="0" w:after="40"/>
        <w:jc w:val="center"/>
      </w:pPr>
      <w:r>
        <w:rPr>
          <w:rFonts w:ascii="黑体" w:hAnsi="黑体" w:eastAsia="黑体"/>
          <w:b/>
          <w:i w:val="0"/>
          <w:color w:val="1A6B8A"/>
          <w:sz w:val="36"/>
        </w:rPr>
        <w:t>美光科技（Micron Technology, Inc.）｜ 纳斯达克：MU</w:t>
      </w:r>
    </w:p>
    <w:p>
      <w:pPr>
        <w:spacing w:before="0" w:after="60"/>
        <w:jc w:val="center"/>
      </w:pPr>
      <w:r>
        <w:rPr>
          <w:rFonts w:ascii="宋体" w:hAnsi="宋体" w:eastAsia="宋体"/>
          <w:b w:val="0"/>
          <w:i/>
          <w:color w:val="444444"/>
          <w:sz w:val="24"/>
        </w:rPr>
        <w:t>FY2026财年第一季度业绩更新 — 创纪录季度，AI存储需求驱动全面超预期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4F8FB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888888"/>
                <w:sz w:val="15"/>
              </w:rPr>
              <w:t>评级</w:t>
              <w:br/>
            </w:r>
            <w:r>
              <w:rPr>
                <w:rFonts w:ascii="黑体" w:hAnsi="黑体" w:eastAsia="黑体"/>
                <w:b/>
                <w:i w:val="0"/>
                <w:color w:val="1A6B8A"/>
                <w:sz w:val="21"/>
              </w:rPr>
              <w:t>买入</w:t>
            </w:r>
          </w:p>
        </w:tc>
        <w:tc>
          <w:tcPr>
            <w:tcW w:type="dxa" w:w="1949"/>
            <w:shd w:val="clear" w:color="auto" w:fill="F4F8FB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888888"/>
                <w:sz w:val="15"/>
              </w:rPr>
              <w:t>目标价</w:t>
              <w:br/>
            </w:r>
            <w:r>
              <w:rPr>
                <w:rFonts w:ascii="黑体" w:hAnsi="黑体" w:eastAsia="黑体"/>
                <w:b/>
                <w:i w:val="0"/>
                <w:color w:val="1A6B8A"/>
                <w:sz w:val="21"/>
              </w:rPr>
              <w:t>$350</w:t>
            </w:r>
          </w:p>
        </w:tc>
        <w:tc>
          <w:tcPr>
            <w:tcW w:type="dxa" w:w="1949"/>
            <w:shd w:val="clear" w:color="auto" w:fill="F4F8FB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888888"/>
                <w:sz w:val="15"/>
              </w:rPr>
              <w:t>当前股价¹</w:t>
              <w:br/>
            </w:r>
            <w:r>
              <w:rPr>
                <w:rFonts w:ascii="黑体" w:hAnsi="黑体" w:eastAsia="黑体"/>
                <w:b/>
                <w:i w:val="0"/>
                <w:color w:val="1A6B8A"/>
                <w:sz w:val="21"/>
              </w:rPr>
              <w:t>$421.51²</w:t>
            </w:r>
          </w:p>
        </w:tc>
        <w:tc>
          <w:tcPr>
            <w:tcW w:type="dxa" w:w="1949"/>
            <w:shd w:val="clear" w:color="auto" w:fill="F4F8FB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888888"/>
                <w:sz w:val="15"/>
              </w:rPr>
              <w:t>市值</w:t>
              <w:br/>
            </w:r>
            <w:r>
              <w:rPr>
                <w:rFonts w:ascii="黑体" w:hAnsi="黑体" w:eastAsia="黑体"/>
                <w:b/>
                <w:i w:val="0"/>
                <w:color w:val="1A6B8A"/>
                <w:sz w:val="21"/>
              </w:rPr>
              <w:t>$4,754亿</w:t>
            </w:r>
          </w:p>
        </w:tc>
        <w:tc>
          <w:tcPr>
            <w:tcW w:type="dxa" w:w="1949"/>
            <w:shd w:val="clear" w:color="auto" w:fill="F4F8FB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888888"/>
                <w:sz w:val="15"/>
              </w:rPr>
              <w:t>报告日期</w:t>
              <w:br/>
            </w:r>
            <w:r>
              <w:rPr>
                <w:rFonts w:ascii="黑体" w:hAnsi="黑体" w:eastAsia="黑体"/>
                <w:b/>
                <w:i w:val="0"/>
                <w:color w:val="1A6B8A"/>
                <w:sz w:val="21"/>
              </w:rPr>
              <w:t>2025年12月17日</w:t>
            </w:r>
          </w:p>
        </w:tc>
      </w:tr>
    </w:tbl>
    <w:p>
      <w:pPr>
        <w:spacing w:before="40" w:after="120"/>
        <w:jc w:val="left"/>
      </w:pPr>
      <w:r>
        <w:rPr>
          <w:rFonts w:ascii="宋体" w:hAnsi="宋体" w:eastAsia="宋体"/>
          <w:b w:val="0"/>
          <w:i/>
          <w:color w:val="888888"/>
          <w:sz w:val="15"/>
        </w:rPr>
        <w:t>¹ 股价截至2026年4月10日。² 当前股价反映FY2026Q1业绩公布后的市场上涨。</w:t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核心要点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营收创纪录，超预期： </w:t>
      </w:r>
      <w:r>
        <w:rPr>
          <w:rFonts w:ascii="宋体" w:hAnsi="宋体" w:eastAsia="宋体"/>
          <w:b w:val="0"/>
          <w:i w:val="0"/>
          <w:sz w:val="20"/>
        </w:rPr>
        <w:t>FY2026Q1营收136.4亿美元（同比+57.2%，环比+20.5%），超彭博一致预期130亿美元约6.4亿（+4.9%），连续第三个季度刷新公司纪录。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EPS大幅超预期： </w:t>
      </w:r>
      <w:r>
        <w:rPr>
          <w:rFonts w:ascii="宋体" w:hAnsi="宋体" w:eastAsia="宋体"/>
          <w:b w:val="0"/>
          <w:i w:val="0"/>
          <w:sz w:val="20"/>
        </w:rPr>
        <w:t>Non-GAAP摊薄每股收益4.78美元，超一致预期3.94美元约0.84美元（+21.3%），主要得益于HBM需求推动的DRAM价格上涨及产品结构改善。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毛利率跃升： </w:t>
      </w:r>
      <w:r>
        <w:rPr>
          <w:rFonts w:ascii="宋体" w:hAnsi="宋体" w:eastAsia="宋体"/>
          <w:b w:val="0"/>
          <w:i w:val="0"/>
          <w:sz w:val="20"/>
        </w:rPr>
        <w:t>Non-GAAP毛利率56.8%，环比提升约11个百分点，远超中期指引约47.5%约930个基点，创历史高点，反映HBM产品组合带来的结构性利润改善。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HBM全年售罄： </w:t>
      </w:r>
      <w:r>
        <w:rPr>
          <w:rFonts w:ascii="宋体" w:hAnsi="宋体" w:eastAsia="宋体"/>
          <w:b w:val="0"/>
          <w:i w:val="0"/>
          <w:sz w:val="20"/>
        </w:rPr>
        <w:t>美光已完成2026全年HBM（含HBM4）全部产能的价格及数量协议，供需格局极为有利。管理层预计HBM全球TAM将以约40%复合年增长率扩张，从2025年约350亿美元增至2028年约1,000亿美元。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Q2指引远超预期： </w:t>
      </w:r>
      <w:r>
        <w:rPr>
          <w:rFonts w:ascii="宋体" w:hAnsi="宋体" w:eastAsia="宋体"/>
          <w:b w:val="0"/>
          <w:i w:val="0"/>
          <w:sz w:val="20"/>
        </w:rPr>
        <w:t>FY2026Q2指引：营收187亿美元（±4亿）、Non-GAAP毛利率约68%（±1ppt）、Non-GAAP EPS 8.42美元（±0.20），环比增速分别为+37%、+11ppt、+76%。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资本支出上调： </w:t>
      </w:r>
      <w:r>
        <w:rPr>
          <w:rFonts w:ascii="宋体" w:hAnsi="宋体" w:eastAsia="宋体"/>
          <w:b w:val="0"/>
          <w:i w:val="0"/>
          <w:sz w:val="20"/>
        </w:rPr>
        <w:t>FY2026全年资本支出从约180亿美元上调至约200亿美元，主要用于HBM产能扩张及1-gamma节点建设。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投资逻辑完整，维持买入： </w:t>
      </w:r>
      <w:r>
        <w:rPr>
          <w:rFonts w:ascii="宋体" w:hAnsi="宋体" w:eastAsia="宋体"/>
          <w:b w:val="0"/>
          <w:i w:val="0"/>
          <w:sz w:val="20"/>
        </w:rPr>
        <w:t>AI驱动存储需求持续超预期，维持买入评级，目标价上调至350美元（原290美元）。</w:t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业绩快照 — FY2026Q1（会计季度截止2025年11月27日）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73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FY2026Q1实际</w:t>
            </w:r>
          </w:p>
        </w:tc>
        <w:tc>
          <w:tcPr>
            <w:tcW w:type="dxa" w:w="144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一致预期</w:t>
            </w:r>
          </w:p>
        </w:tc>
        <w:tc>
          <w:tcPr>
            <w:tcW w:type="dxa" w:w="2448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超/低预期</w:t>
            </w:r>
          </w:p>
        </w:tc>
        <w:tc>
          <w:tcPr>
            <w:tcW w:type="dxa" w:w="144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同比变动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营收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136.4亿美元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130.0亿美元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A6B8A"/>
                <w:sz w:val="18"/>
              </w:rPr>
              <w:t>▲ 超预期+6.4亿（+4.9%）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+57.2%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DRAM营收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108.0亿美元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+69.0%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NAND营收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27.0亿美元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+22.0%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Non-GAAP毛利率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56.8%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约47.0%</w:t>
            </w:r>
          </w:p>
        </w:tc>
        <w:tc>
          <w:tcPr>
            <w:tcW w:type="dxa" w:w="244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A6B8A"/>
                <w:sz w:val="18"/>
              </w:rPr>
              <w:t>▲ 超预期+980bps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+3,420bps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Non-GAAP营业利润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64亿美元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显著改善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 EPS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$4.78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$3.94</w:t>
            </w:r>
          </w:p>
        </w:tc>
        <w:tc>
          <w:tcPr>
            <w:tcW w:type="dxa" w:w="244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A6B8A"/>
                <w:sz w:val="18"/>
              </w:rPr>
              <w:t>▲ 超预期+$0.84（+21.3%）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+167.0%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GAAP EPS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$4.60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$3.70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A6B8A"/>
                <w:sz w:val="18"/>
              </w:rPr>
              <w:t>▲ 超预期+$0.90（+24.3%）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显著改善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经营现金流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84.1亿美元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+243%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自由现金流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39.3亿美元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显著改善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资本支出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45.0亿美元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44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80"/>
        <w:jc w:val="left"/>
      </w:pPr>
      <w:r>
        <w:rPr>
          <w:rFonts w:ascii="宋体" w:hAnsi="宋体" w:eastAsia="宋体"/>
          <w:b w:val="0"/>
          <w:i/>
          <w:color w:val="666666"/>
          <w:sz w:val="15"/>
        </w:rPr>
        <w:t>资料来源：美光FY2026Q1业绩公告（2025年12月17日）；彭博一致预期（截至2025年12月17日）。</w:t>
      </w:r>
    </w:p>
    <w:p>
      <w:r>
        <w:br w:type="page"/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详细业绩分析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营收 — 连续第三个季度刷新纪录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美光FY2026Q1实现营收136.4亿美元，同比增长57.2%，环比增长20.5%，超公司自身指引上限约6.4亿美元，超彭博一致预期约4.9%。营收创第三个季度纪录，主要受益于AI基础设施建设带动的高带宽内存（HBM）需求爆发，以及服务器DRAM价格持续上行。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DRAM — 创纪录108亿美元，同比+69%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DRAM营收达108亿美元（占总营收79%），同比增长69%，环比增长20%，再创历史新高。核心驱动力在于：（1）超大型云服务商（微软、谷歌、亚马逊、Meta）AI训练和推理基础设施大规模扩建推动HBM需求；（2）服务器DDR5 DRAM供需紧张格局维持；（3）主要DRAM厂商普遍维持供给纪律。美光已完成2026全年HBM全部产能的价格及数量协议，包括下一代HBM4（预计FY2026Q2量产）。管理层表示，HBM目前约占DRAM营收中双位数百分比，AI服务器每台内存用量的持续提升将驱动比特需求长期增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图1：美光季度营收走势（FY2025Q1–FY2026Q1，单位：十亿美元）</w:t>
        <w:br/>
        <w:t>资料来源：美光FY2026Q1业绩公告（2025年12月17日）；SEC Form 10-Q（2025年12月18日提交）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2_dram_n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图2：DRAM与NAND分产品营收（FY2025Q1–FY2026Q1，单位：十亿美元）</w:t>
        <w:br/>
        <w:t>资料来源：美光各季度业绩公告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NAND — 27亿美元，同比+22%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NAND营收27亿美元，同比增长22%，环比增长约8%，走势较DRAM温和。数据中心企业SSD需求保持稳定，消费级NAND价格承压，中国NAND厂商（长江存储）扩产持续。NAND占总营收比例从一年前约27%下降至20%，反映DRAM更快的增速。美光继续推进面向企业应用的QLC NAND，有助于改善产品组合ASP。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业务单元营收拆分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云存储业务单元（CMBU）：HBM及服务器DRAM，营收52.8亿美元，同比翻倍（+100%），毛利率高达66%，为公司核心利润引擎。核心数据中心业务单元（CDBU）：数据中心NAND及部分DRAM，营收24亿美元（+4% YoY）。移动与客户端业务单元（MCBU）：营收43亿美元（+63% YoY），受益于智能手机DRAM内存提升和PC市场复苏。汽车与嵌入式业务单元（AEBU）：营收16.6亿美元（+49% YoY），ADAS和车载存储需求强劲。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5_business_un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图3：FY2026Q1各业务单元营收（单位：十亿美元）</w:t>
        <w:br/>
        <w:t>资料来源：美光FY2026Q1业绩公告（2025年12月17日）</w:t>
      </w:r>
    </w:p>
    <w:p>
      <w:r>
        <w:br w:type="page"/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核心指标与业绩指引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毛利率 — 56.8%，环比+11个百分点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Non-GAAP毛利率56.8%是本季最大亮点，超公司指引中值约47.5%约930bps，超市场预期约47.0%约980bps。超预期原因：（1）HBM产品组合比例提升（HBM ASP显著高于标准DDR5）；（2）DRAM服务器及移动端价格好于预期；（3）1-beta节点成本控制优异。毛利率从FY2025Q1的22.6%大幅跃升至56.8%，约34个百分点的改善清晰呈现公司经历FY2023低谷后的盈利能力恢复轨迹。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4_gross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图4：Non-GAAP毛利率走势（FY2025Q1–FY2026Q1，%）</w:t>
        <w:br/>
        <w:t>资料来源：美光各季度业绩公告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6_beat_mi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图5：FY2026Q1业绩 vs. 一致预期 — 全面超预期</w:t>
        <w:br/>
        <w:t>资料来源：美光FY2026Q1业绩公告；彭博一致预期（2025年12月17日）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EPS — 4.78美元，超预期21%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Non-GAAP摊薄EPS 4.78美元，环比增长58%，同比增长167%，超一致预期3.94美元0.84美元（+21.3%）。GAAP摊薄EPS 4.60美元，超一致预期3.70美元。Non-GAAP营业利润64亿美元，营业利润率47.0%（去年同期27.5%）。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3_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图6：Non-GAAP摊薄EPS走势及一致预期对比</w:t>
        <w:br/>
        <w:t>资料来源：美光FY2026Q1业绩公告；彭博一致预期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现金流与资本开支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经营现金流84.1亿美元，环比增长47%，同比增长243%，创历史新高。资本支出45亿美元，自由现金流39.3亿美元。管理层将FY2026全年资本支出指引从约180亿美元上调至约200亿美元，增量主要用于HBM产能扩张及1-gamma节点研发。公司预计Q2及后续季度自由现金流将显著提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7_cas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图7：经营现金流与资本支出（FY2025Q1–FY2026Q1，单位：十亿美元）</w:t>
        <w:br/>
        <w:t>资料来源：美光各季度业绩公告；Form 10-Q（2025年12月18日提交）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FY2026Q2 业绩指引 — 大幅优于预期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i w:val="0"/>
          <w:sz w:val="20"/>
        </w:rPr>
        <w:t>管理层FY2026Q2指引全面超出市场预期：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73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FY2026Q1实际</w:t>
            </w:r>
          </w:p>
        </w:tc>
        <w:tc>
          <w:tcPr>
            <w:tcW w:type="dxa" w:w="288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FY2026Q2指引</w:t>
            </w:r>
          </w:p>
        </w:tc>
        <w:tc>
          <w:tcPr>
            <w:tcW w:type="dxa" w:w="201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环比变动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营收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136.4亿美元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187亿美元（±4亿）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+37.1%</w:t>
            </w:r>
          </w:p>
        </w:tc>
      </w:tr>
      <w:tr>
        <w:tc>
          <w:tcPr>
            <w:tcW w:type="dxa" w:w="2736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Non-GAAP毛利率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56.8%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约68%（±1ppt）</w:t>
            </w:r>
          </w:p>
        </w:tc>
        <w:tc>
          <w:tcPr>
            <w:tcW w:type="dxa" w:w="201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+约11ppt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 EPS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$4.78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$8.42（±$0.20）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+76.2%</w:t>
            </w:r>
          </w:p>
        </w:tc>
      </w:tr>
    </w:tbl>
    <w:p>
      <w:pPr>
        <w:spacing w:before="40" w:after="120"/>
        <w:jc w:val="left"/>
      </w:pPr>
      <w:r>
        <w:rPr>
          <w:rFonts w:ascii="宋体" w:hAnsi="宋体" w:eastAsia="宋体"/>
          <w:b w:val="0"/>
          <w:i/>
          <w:color w:val="666666"/>
          <w:sz w:val="15"/>
        </w:rPr>
        <w:t>资料来源：美光FY2026Q1业绩电话会议（2025年12月17日）。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Q2指引意味着营收环比加速约37%、毛利率再升约11个百分点至68%、EPS环比大增76%，主要驱动力为HBM放量、数据中心DRAM持续提价以及规模效应。按指引中值计算，FY2026Q2将再次刷新美光营收历史纪录。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9_guid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图8：FY2026Q2指引 vs. FY2026Q1实际</w:t>
        <w:br/>
        <w:t>资料来源：美光FY2026Q1业绩电话会议（2025年12月17日）</w:t>
      </w:r>
    </w:p>
    <w:p>
      <w:r>
        <w:br w:type="page"/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投资逻辑更新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本季度的关键变化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i w:val="0"/>
          <w:sz w:val="20"/>
        </w:rPr>
        <w:t>FY2026Q1业绩超出了街道最乐观的预期，以下三点具有定性意义：</w:t>
      </w:r>
    </w:p>
    <w:p>
      <w:pPr>
        <w:pStyle w:val="ListBullet"/>
        <w:spacing w:after="8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HBM全年售罄，能见度极高： </w:t>
      </w:r>
      <w:r>
        <w:rPr>
          <w:rFonts w:ascii="宋体" w:hAnsi="宋体" w:eastAsia="宋体"/>
          <w:b w:val="0"/>
          <w:i w:val="0"/>
          <w:sz w:val="20"/>
        </w:rPr>
        <w:t>完成2026全年HBM（含HBM4）全部产能的价格及数量协议，消除了近期需求不确定性，并为FY2026下半年（Q3-Q4）提供了极强的营收可预期性。这在美光历史上前所未有，表明超大规模云服务商AI基础设施投入具有高度确定性和持续性。</w:t>
      </w:r>
    </w:p>
    <w:p>
      <w:pPr>
        <w:pStyle w:val="ListBullet"/>
        <w:spacing w:after="8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毛利率结构性跃升： </w:t>
      </w:r>
      <w:r>
        <w:rPr>
          <w:rFonts w:ascii="宋体" w:hAnsi="宋体" w:eastAsia="宋体"/>
          <w:b w:val="0"/>
          <w:i w:val="0"/>
          <w:sz w:val="20"/>
        </w:rPr>
        <w:t>Q1 56.8%、Q2指引68%，呈现出HBM已成为利润结构改变因素的信号，而非一次性。我们将FY2026全年毛利率预测从50%上调至62%，FY2027从55%上调至65%。</w:t>
      </w:r>
    </w:p>
    <w:p>
      <w:pPr>
        <w:pStyle w:val="ListBullet"/>
        <w:spacing w:after="80"/>
      </w:pPr>
      <w:r>
        <w:rPr>
          <w:rFonts w:ascii="黑体" w:hAnsi="黑体" w:eastAsia="黑体"/>
          <w:b/>
          <w:i w:val="0"/>
          <w:color w:val="1A6B8A"/>
          <w:sz w:val="20"/>
        </w:rPr>
        <w:t xml:space="preserve">TAM显著扩张： </w:t>
      </w:r>
      <w:r>
        <w:rPr>
          <w:rFonts w:ascii="宋体" w:hAnsi="宋体" w:eastAsia="宋体"/>
          <w:b w:val="0"/>
          <w:i w:val="0"/>
          <w:sz w:val="20"/>
        </w:rPr>
        <w:t>管理层预计HBM全球TAM将从2025年约350亿美元增至2028年约1,000亿美元（约40% CAGR），约为当前市场规模3倍。美光在HBM领域竞争力的持续提升（HBM4领先）使其受益程度或超出此前预期。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8_hbm_t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图9：全球HBM TAM预测（十亿美元），约40% CAGR（2025–2028）</w:t>
        <w:br/>
        <w:t>资料来源：美光管理层评论，FY2026Q1业绩电话会议（2025年12月17日）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主要风险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C0392B"/>
          <w:sz w:val="20"/>
        </w:rPr>
        <w:t xml:space="preserve">AI资本支出下行风险： </w:t>
      </w:r>
      <w:r>
        <w:rPr>
          <w:rFonts w:ascii="宋体" w:hAnsi="宋体" w:eastAsia="宋体"/>
          <w:b w:val="0"/>
          <w:i w:val="0"/>
          <w:sz w:val="20"/>
        </w:rPr>
        <w:t>云服务商AI基础设施投入若显著收缩，将迅速反转HBM定价与出货量趋势，进而对业绩产生非线性影响。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C0392B"/>
          <w:sz w:val="20"/>
        </w:rPr>
        <w:t xml:space="preserve">竞争格局加剧： </w:t>
      </w:r>
      <w:r>
        <w:rPr>
          <w:rFonts w:ascii="宋体" w:hAnsi="宋体" w:eastAsia="宋体"/>
          <w:b w:val="0"/>
          <w:i w:val="0"/>
          <w:sz w:val="20"/>
        </w:rPr>
        <w:t>SK海力士仍为HBM市场领导者（约50%+市占率），三星持续加大HBM和DRAM产能投入。若美光HBM良率或客户认证出现问题，可能导致份额流失。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C0392B"/>
          <w:sz w:val="20"/>
        </w:rPr>
        <w:t xml:space="preserve">NAND供过于求： </w:t>
      </w:r>
      <w:r>
        <w:rPr>
          <w:rFonts w:ascii="宋体" w:hAnsi="宋体" w:eastAsia="宋体"/>
          <w:b w:val="0"/>
          <w:i w:val="0"/>
          <w:sz w:val="20"/>
        </w:rPr>
        <w:t>NAND市场格局弱于DRAM，消费级NAND价格承压，中国NAND厂商（长江存储）持续扩产，可能拖累美光NAND业务利润率。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C0392B"/>
          <w:sz w:val="20"/>
        </w:rPr>
        <w:t xml:space="preserve">地缘政治与出口管制： </w:t>
      </w:r>
      <w:r>
        <w:rPr>
          <w:rFonts w:ascii="宋体" w:hAnsi="宋体" w:eastAsia="宋体"/>
          <w:b w:val="0"/>
          <w:i w:val="0"/>
          <w:sz w:val="20"/>
        </w:rPr>
        <w:t>中美技术限制升级可能影响美光对华销售（历史上占营收10-15%），并可能波及设备采购和产能扩张计划。</w:t>
      </w:r>
    </w:p>
    <w:p>
      <w:pPr>
        <w:pStyle w:val="ListBullet"/>
        <w:spacing w:after="60"/>
      </w:pPr>
      <w:r>
        <w:rPr>
          <w:rFonts w:ascii="黑体" w:hAnsi="黑体" w:eastAsia="黑体"/>
          <w:b/>
          <w:i w:val="0"/>
          <w:color w:val="C0392B"/>
          <w:sz w:val="20"/>
        </w:rPr>
        <w:t xml:space="preserve">半导体行业周期性： </w:t>
      </w:r>
      <w:r>
        <w:rPr>
          <w:rFonts w:ascii="宋体" w:hAnsi="宋体" w:eastAsia="宋体"/>
          <w:b w:val="0"/>
          <w:i w:val="0"/>
          <w:sz w:val="20"/>
        </w:rPr>
        <w:t>存储半导体市场具有固有周期性，PC、智能手机或数据中心支出下滑均可能导致DRAM定价快速回落，正如FY2023下行周期所示。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潜在催化剂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0"/>
        </w:rPr>
        <w:t>FY2026Q2业绩（预计2026年3月公布）：指引兑现情况验证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0"/>
        </w:rPr>
        <w:t>HBM4量产认证：谷歌TPU、英伟达Blackwell平台客户认证进展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0"/>
        </w:rPr>
        <w:t>1-gamma节点良率提升：进一步推动成本下降和利润率扩张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0"/>
        </w:rPr>
        <w:t>中国市场政策变化：若出口管制放宽将是超预期正面催化剂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i w:val="0"/>
          <w:sz w:val="20"/>
        </w:rPr>
        <w:t>股票回购提速：强劲自由现金流为加大资本回报奠定基础</w:t>
      </w:r>
    </w:p>
    <w:p>
      <w:r>
        <w:br w:type="page"/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估值与盈利预测更新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更新后财务预测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综合FY2026Q1实际业绩及Q2指引，我们大幅上调全年预测。仅Q2指引（营收187亿、EPS 8.42美元）便已意味着此前全年一致预期存在大幅低估。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04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44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FY2026Q1</w:t>
              <w:br/>
              <w:t>实际</w:t>
            </w:r>
          </w:p>
        </w:tc>
        <w:tc>
          <w:tcPr>
            <w:tcW w:type="dxa" w:w="165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FY2026Q2E</w:t>
              <w:br/>
              <w:t>（指引）</w:t>
            </w:r>
          </w:p>
        </w:tc>
        <w:tc>
          <w:tcPr>
            <w:tcW w:type="dxa" w:w="165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FY2026E</w:t>
              <w:br/>
              <w:t>（全年）</w:t>
            </w:r>
          </w:p>
        </w:tc>
        <w:tc>
          <w:tcPr>
            <w:tcW w:type="dxa" w:w="165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FY2026E</w:t>
              <w:br/>
              <w:t>（前次预测）</w:t>
            </w:r>
          </w:p>
        </w:tc>
        <w:tc>
          <w:tcPr>
            <w:tcW w:type="dxa" w:w="144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营收（十亿美元）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$13.64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$18.70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~$68–75B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~$48–52B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~$85–90B</w:t>
            </w:r>
          </w:p>
        </w:tc>
      </w:tr>
      <w:tr>
        <w:tc>
          <w:tcPr>
            <w:tcW w:type="dxa" w:w="2304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Non-GAAP毛利率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56.8%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约68%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约62%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约50%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约65%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Non-GAAP EPS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$4.78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$8.42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约$28–32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约$18–22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约$40–45</w:t>
            </w:r>
          </w:p>
        </w:tc>
      </w:tr>
      <w:tr>
        <w:tc>
          <w:tcPr>
            <w:tcW w:type="dxa" w:w="2304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资本支出（十亿美元）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$4.50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约$20B</w:t>
            </w:r>
          </w:p>
        </w:tc>
        <w:tc>
          <w:tcPr>
            <w:tcW w:type="dxa" w:w="165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约$18B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约$22B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自由现金流（十亿美元）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$3.93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约$18–22B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约$12–15B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约$25–30B</w:t>
            </w:r>
          </w:p>
        </w:tc>
      </w:tr>
    </w:tbl>
    <w:p>
      <w:pPr>
        <w:spacing w:before="40" w:after="120"/>
        <w:jc w:val="left"/>
      </w:pPr>
      <w:r>
        <w:rPr>
          <w:rFonts w:ascii="宋体" w:hAnsi="宋体" w:eastAsia="宋体"/>
          <w:b w:val="0"/>
          <w:i/>
          <w:color w:val="666666"/>
          <w:sz w:val="15"/>
        </w:rPr>
        <w:t>资料来源：美光FY2026Q1业绩公告及电话会议（2025年12月17日）；Wolfe Research、美国银行证券分析师预测；彭博一致预期。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估值分析</w:t>
      </w:r>
    </w:p>
    <w:p>
      <w:pPr>
        <w:spacing w:before="0" w:after="80"/>
        <w:jc w:val="left"/>
      </w:pPr>
      <w:r>
        <w:rPr>
          <w:rFonts w:ascii="宋体" w:hAnsi="宋体" w:eastAsia="宋体"/>
          <w:b w:val="0"/>
          <w:i w:val="0"/>
          <w:sz w:val="20"/>
        </w:rPr>
        <w:t>按2026年4月10日收盘价421.51美元计算，美光当前对应约15-16倍FY2026E Non-GAAP EPS（约28-32美元），约10-11倍FY2027E EPS（约40-45美元）。市销率约6-7倍FY2026E营收（约680-750亿美元）。需要注意的是，当前股价已充分反映FY2026Q1业绩公布后的大幅上涨（约20-25%）。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我们2025年12月提出的350美元目标价基于：（1）约16-17倍FY2026E Non-GAAP EPS约20美元；（2）约5倍FY2026E营收的EV/Sales估值；（3）相对三星、SK海力士估值溢价（美国上市地位 + HBM弹性）。目前市场已超越该目标价，建议参阅最新覆盖报告获取修正后目标价及评级。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可比公司分析（截至2025年12月）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448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公司</w:t>
            </w:r>
          </w:p>
        </w:tc>
        <w:tc>
          <w:tcPr>
            <w:tcW w:type="dxa" w:w="201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股票代码</w:t>
            </w:r>
          </w:p>
        </w:tc>
        <w:tc>
          <w:tcPr>
            <w:tcW w:type="dxa" w:w="1584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CY2026E市盈率</w:t>
            </w:r>
          </w:p>
        </w:tc>
        <w:tc>
          <w:tcPr>
            <w:tcW w:type="dxa" w:w="1728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CY2026E EV/Sales</w:t>
            </w:r>
          </w:p>
        </w:tc>
        <w:tc>
          <w:tcPr>
            <w:tcW w:type="dxa" w:w="1440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毛利率</w:t>
            </w:r>
          </w:p>
        </w:tc>
        <w:tc>
          <w:tcPr>
            <w:tcW w:type="dxa" w:w="1296"/>
            <w:shd w:val="clear" w:color="auto" w:fill="1A6B8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评级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美光科技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MU（纳斯达克）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约15倍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约5–6倍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约57%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买入</w:t>
            </w:r>
          </w:p>
        </w:tc>
      </w:tr>
      <w:tr>
        <w:tc>
          <w:tcPr>
            <w:tcW w:type="dxa" w:w="2448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三星电子</w:t>
            </w:r>
          </w:p>
        </w:tc>
        <w:tc>
          <w:tcPr>
            <w:tcW w:type="dxa" w:w="201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005930（韩交所）</w:t>
            </w:r>
          </w:p>
        </w:tc>
        <w:tc>
          <w:tcPr>
            <w:tcW w:type="dxa" w:w="1584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约12倍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约2倍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约38%</w:t>
            </w:r>
          </w:p>
        </w:tc>
        <w:tc>
          <w:tcPr>
            <w:tcW w:type="dxa" w:w="129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未评级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SK海力士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000660（韩交所）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约11倍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约3倍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约50%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未评级</w:t>
            </w:r>
          </w:p>
        </w:tc>
      </w:tr>
      <w:tr>
        <w:tc>
          <w:tcPr>
            <w:tcW w:type="dxa" w:w="2448"/>
            <w:shd w:val="clear" w:color="auto"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西部数据</w:t>
            </w:r>
          </w:p>
        </w:tc>
        <w:tc>
          <w:tcPr>
            <w:tcW w:type="dxa" w:w="201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WDC（纳斯达克）</w:t>
            </w:r>
          </w:p>
        </w:tc>
        <w:tc>
          <w:tcPr>
            <w:tcW w:type="dxa" w:w="1584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约20倍</w:t>
            </w:r>
          </w:p>
        </w:tc>
        <w:tc>
          <w:tcPr>
            <w:tcW w:type="dxa" w:w="1728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约2倍</w:t>
            </w:r>
          </w:p>
        </w:tc>
        <w:tc>
          <w:tcPr>
            <w:tcW w:type="dxa" w:w="1440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约35%</w:t>
            </w:r>
          </w:p>
        </w:tc>
        <w:tc>
          <w:tcPr>
            <w:tcW w:type="dxa" w:w="1296"/>
            <w:shd w:val="clear" w:color="auto"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持有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希捷科技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STX（纳斯达克）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约18倍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约2倍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约30%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未评级</w:t>
            </w:r>
          </w:p>
        </w:tc>
      </w:tr>
    </w:tbl>
    <w:p>
      <w:pPr>
        <w:spacing w:before="40" w:after="120"/>
        <w:jc w:val="left"/>
      </w:pPr>
      <w:r>
        <w:rPr>
          <w:rFonts w:ascii="宋体" w:hAnsi="宋体" w:eastAsia="宋体"/>
          <w:b w:val="0"/>
          <w:i/>
          <w:color w:val="666666"/>
          <w:sz w:val="15"/>
        </w:rPr>
        <w:t>资料来源：彭博一致预期（截至2025年12月17日）。未评级 = 本报告未覆盖。CY = 日历年度。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0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10_m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i/>
          <w:color w:val="666666"/>
          <w:sz w:val="16"/>
        </w:rPr>
        <w:t>图10：营收结构 — DRAM vs. NAND及其他（%）</w:t>
        <w:br/>
        <w:t>资料来源：美光各季度业绩公告（FY2025Q1–FY2026Q1）</w:t>
      </w:r>
    </w:p>
    <w:p>
      <w:pPr>
        <w:spacing w:before="120" w:after="40"/>
        <w:jc w:val="left"/>
      </w:pPr>
      <w:r>
        <w:rPr>
          <w:rFonts w:ascii="黑体" w:hAnsi="黑体" w:eastAsia="黑体"/>
          <w:b/>
          <w:i w:val="0"/>
          <w:color w:val="333333"/>
          <w:sz w:val="21"/>
        </w:rPr>
        <w:t>投资建议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i w:val="0"/>
          <w:sz w:val="20"/>
        </w:rPr>
        <w:t>维持美光科技买入评级。FY2026Q1业绩从任何维度衡量均堪称卓越——AI驱动HBM需求爆发推动第三个季度营收破纪录，毛利率和EPS均大幅超预期。CY2026年HBM产能完全售罄及强劲的Q2指引为近期营收提供了极高能见度，这在美光历史上极为罕见。当前股价421美元已相当程度反映了后Q1时代的上行空间，但若HBM4顺利放量且FY2027预测证明偏保守，仍有进一步上升空间。长期AI存储需求主题完整且持续强化。</w:t>
      </w:r>
    </w:p>
    <w:p>
      <w:r>
        <w:br w:type="page"/>
      </w:r>
    </w:p>
    <w:p>
      <w:pPr>
        <w:spacing w:before="200" w:after="60"/>
        <w:jc w:val="left"/>
        <w:pBdr>
          <w:bottom w:val="single" w:sz="6" w:space="4" w:color="1A6B8A"/>
        </w:pBdr>
      </w:pPr>
      <w:r>
        <w:rPr>
          <w:rFonts w:ascii="黑体" w:hAnsi="黑体" w:eastAsia="黑体"/>
          <w:b/>
          <w:i w:val="0"/>
          <w:color w:val="1A6B8A"/>
          <w:sz w:val="22"/>
        </w:rPr>
        <w:t>资料来源与参考文献</w:t>
      </w:r>
    </w:p>
    <w:p>
      <w:pPr>
        <w:spacing w:before="80" w:after="60"/>
        <w:jc w:val="left"/>
      </w:pPr>
      <w:r>
        <w:rPr>
          <w:rFonts w:ascii="黑体" w:hAnsi="黑体" w:eastAsia="黑体"/>
          <w:b/>
          <w:i w:val="0"/>
          <w:sz w:val="20"/>
        </w:rPr>
        <w:t>FY2026Q1业绩相关资料（会计季度截止2025年11月27日）：</w:t>
      </w:r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19">
        <w:r>
          <w:rPr>
            <w:color w:val="1A6B8A"/>
            <w:u w:val="single"/>
          </w:rPr>
          <w:t>FY2026Q1业绩公告 — 美光科技投资者关系（2025年12月17日）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0">
        <w:r>
          <w:rPr>
            <w:color w:val="1A6B8A"/>
            <w:u w:val="single"/>
          </w:rPr>
          <w:t>FY2026Q1业绩公告 — 美国SEC EDGAR（2025年12月17日）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1">
        <w:r>
          <w:rPr>
            <w:color w:val="1A6B8A"/>
            <w:u w:val="single"/>
          </w:rPr>
          <w:t>Form 10-Q — 美国证交会（2025年12月18日提交）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2">
        <w:r>
          <w:rPr>
            <w:color w:val="1A6B8A"/>
            <w:u w:val="single"/>
          </w:rPr>
          <w:t>FY2026Q1业绩电话会议文字记录 — The Motley Fool（2025年12月17日）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3">
        <w:r>
          <w:rPr>
            <w:color w:val="1A6B8A"/>
            <w:u w:val="single"/>
          </w:rPr>
          <w:t>FY2026Q1业绩电话会议文字记录 — Seeking Alpha（2025年12月17日）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4">
        <w:r>
          <w:rPr>
            <w:color w:val="1A6B8A"/>
            <w:u w:val="single"/>
          </w:rPr>
          <w:t>FY2026Q1电话会议准备发言稿 — 美光投资者关系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5">
        <w:r>
          <w:rPr>
            <w:color w:val="1A6B8A"/>
            <w:u w:val="single"/>
          </w:rPr>
          <w:t>季度业绩页面 — 美光投资者关系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6">
        <w:r>
          <w:rPr>
            <w:color w:val="1A6B8A"/>
            <w:u w:val="single"/>
          </w:rPr>
          <w:t>业绩电话会议记录 — Investing.com（2025年12月17日）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7">
        <w:r>
          <w:rPr>
            <w:color w:val="1A6B8A"/>
            <w:u w:val="single"/>
          </w:rPr>
          <w:t>分析师评级与目标价 — TipRanks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8">
        <w:r>
          <w:rPr>
            <w:color w:val="1A6B8A"/>
            <w:u w:val="single"/>
          </w:rPr>
          <w:t>分析师覆盖 — MarketBeat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29">
        <w:r>
          <w:rPr>
            <w:color w:val="1A6B8A"/>
            <w:u w:val="single"/>
          </w:rPr>
          <w:t>HBM市场分析 — TrendForce（2025年12月）</w:t>
        </w:r>
      </w:hyperlink>
    </w:p>
    <w:p>
      <w:pPr>
        <w:spacing w:before="0" w:after="80"/>
        <w:ind w:left="360"/>
      </w:pPr>
      <w:r>
        <w:rPr>
          <w:rFonts w:ascii="宋体" w:hAnsi="宋体" w:eastAsia="宋体"/>
          <w:b w:val="0"/>
          <w:i w:val="0"/>
          <w:color w:val="444444"/>
          <w:sz w:val="19"/>
        </w:rPr>
        <w:t xml:space="preserve">• </w:t>
      </w:r>
      <w:hyperlink r:id="rId30">
        <w:r>
          <w:rPr>
            <w:color w:val="1A6B8A"/>
            <w:u w:val="single"/>
          </w:rPr>
          <w:t>美光FY2026Q1分析 — Futurum Research</w:t>
        </w:r>
      </w:hyperlink>
    </w:p>
    <w:p>
      <w:pPr>
        <w:spacing w:before="120" w:after="60"/>
        <w:jc w:val="left"/>
      </w:pPr>
      <w:r>
        <w:rPr>
          <w:rFonts w:ascii="宋体" w:hAnsi="宋体" w:eastAsia="宋体"/>
          <w:b w:val="0"/>
          <w:i/>
          <w:color w:val="666666"/>
          <w:sz w:val="18"/>
        </w:rPr>
        <w:br/>
        <w:t>一致预期数据：彭博终端，截至2025年12月17日。</w:t>
      </w:r>
    </w:p>
    <w:p>
      <w:pPr>
        <w:spacing w:before="0" w:after="60"/>
        <w:jc w:val="left"/>
      </w:pPr>
      <w:r>
        <w:rPr>
          <w:rFonts w:ascii="宋体" w:hAnsi="宋体" w:eastAsia="宋体"/>
          <w:b w:val="0"/>
          <w:i/>
          <w:color w:val="666666"/>
          <w:sz w:val="18"/>
        </w:rPr>
        <w:t>市场数据：Yahoo Finance / Investing.com，截至2026年4月10日。</w:t>
      </w:r>
    </w:p>
    <w:p>
      <w:pPr>
        <w:spacing w:before="120" w:after="60"/>
        <w:jc w:val="left"/>
      </w:pPr>
      <w:r>
        <w:rPr>
          <w:rFonts w:ascii="宋体" w:hAnsi="宋体" w:eastAsia="宋体"/>
          <w:b w:val="0"/>
          <w:i/>
          <w:color w:val="999999"/>
          <w:sz w:val="16"/>
        </w:rPr>
        <w:br/>
        <w:t>免责声明：本报告仅供参考，不构成投资建议。目标价及评级均为基于公开信息的估算，不代表任何投资机构的正式意见。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investors.micron.com/news-releases/news-release-details/micron-technology-inc-reports-results-first-quarter-fiscal-2026" TargetMode="External"/><Relationship Id="rId20" Type="http://schemas.openxmlformats.org/officeDocument/2006/relationships/hyperlink" Target="https://www.sec.gov/Archives/edgar/data/723125/000072312525000044/a2026q1ex991-pressrelease.htm" TargetMode="External"/><Relationship Id="rId21" Type="http://schemas.openxmlformats.org/officeDocument/2006/relationships/hyperlink" Target="https://investors.micron.com/static-files/502c03ac-dd06-4c88-9441-02ebfe6ff6fa" TargetMode="External"/><Relationship Id="rId22" Type="http://schemas.openxmlformats.org/officeDocument/2006/relationships/hyperlink" Target="https://www.fool.com/earnings/call-transcripts/2025/12/17/micron-mu-q1-2026-earnings-call-transcript/" TargetMode="External"/><Relationship Id="rId23" Type="http://schemas.openxmlformats.org/officeDocument/2006/relationships/hyperlink" Target="https://seekingalpha.com/article/4854216-micron-technology-inc-mu-q1-2026-earnings-call-transcript" TargetMode="External"/><Relationship Id="rId24" Type="http://schemas.openxmlformats.org/officeDocument/2006/relationships/hyperlink" Target="https://investors.micron.com/static-files/088991c5-a249-4f66-a0a6-258d9b66f3f9" TargetMode="External"/><Relationship Id="rId25" Type="http://schemas.openxmlformats.org/officeDocument/2006/relationships/hyperlink" Target="https://investors.micron.com/quarterly-results" TargetMode="External"/><Relationship Id="rId26" Type="http://schemas.openxmlformats.org/officeDocument/2006/relationships/hyperlink" Target="https://www.investing.com/news/transcripts/earnings-call-transcript-micron-q1-2026-beats-forecasts-stock-rises-93CH-4413912" TargetMode="External"/><Relationship Id="rId27" Type="http://schemas.openxmlformats.org/officeDocument/2006/relationships/hyperlink" Target="https://www.tipranks.com/stocks/mu/forecast" TargetMode="External"/><Relationship Id="rId28" Type="http://schemas.openxmlformats.org/officeDocument/2006/relationships/hyperlink" Target="https://www.marketbeat.com/stocks/NASDAQ/MU/forecast/" TargetMode="External"/><Relationship Id="rId29" Type="http://schemas.openxmlformats.org/officeDocument/2006/relationships/hyperlink" Target="https://www.trendforce.com/news/2025/12/18/news-micron-hikes-capex-to-20b-with-2026-hbm-supply-fully-booked-hbm4-ramps-2q26/" TargetMode="External"/><Relationship Id="rId30" Type="http://schemas.openxmlformats.org/officeDocument/2006/relationships/hyperlink" Target="https://futurumgroup.com/insights/micron-technology-q1-fy-2026-sets-records-strong-q2-outl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