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val="0"/>
          <w:i w:val="0"/>
          <w:color w:val="888888"/>
          <w:sz w:val="18"/>
        </w:rPr>
        <w:t>EQUITY RESEARCH — EARNINGS UPDATE</w:t>
      </w:r>
    </w:p>
    <w:p>
      <w:pPr>
        <w:spacing w:before="0" w:after="40"/>
        <w:jc w:val="center"/>
      </w:pPr>
      <w:r>
        <w:rPr>
          <w:rFonts w:ascii="Times New Roman" w:hAnsi="Times New Roman"/>
          <w:b/>
          <w:i w:val="0"/>
          <w:color w:val="1A6B8A"/>
          <w:sz w:val="36"/>
        </w:rPr>
        <w:t>MICRON TECHNOLOGY, INC.  |  NASDAQ: MU</w:t>
      </w:r>
    </w:p>
    <w:p>
      <w:pPr>
        <w:spacing w:before="0" w:after="60"/>
        <w:jc w:val="center"/>
      </w:pPr>
      <w:r>
        <w:rPr>
          <w:rFonts w:ascii="Times New Roman" w:hAnsi="Times New Roman"/>
          <w:b w:val="0"/>
          <w:i/>
          <w:color w:val="444444"/>
          <w:sz w:val="24"/>
        </w:rPr>
        <w:t>Q1 FY2026 Earnings Update — Record Quarter Driven by AI Memory Demand</w:t>
      </w:r>
    </w:p>
    <w:tbl>
      <w:tblPr>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F4F8FB"/>
          </w:tcPr>
          <w:p>
            <w:pPr>
              <w:jc w:val="center"/>
            </w:pPr>
            <w:r>
              <w:rPr>
                <w:rFonts w:ascii="Times New Roman" w:hAnsi="Times New Roman"/>
                <w:b/>
                <w:i w:val="0"/>
                <w:color w:val="888888"/>
                <w:sz w:val="15"/>
              </w:rPr>
              <w:t>RATING</w:t>
              <w:br/>
            </w:r>
            <w:r>
              <w:rPr>
                <w:rFonts w:ascii="Times New Roman" w:hAnsi="Times New Roman"/>
                <w:b/>
                <w:i w:val="0"/>
                <w:color w:val="1A6B8A"/>
                <w:sz w:val="21"/>
              </w:rPr>
              <w:t>BUY</w:t>
            </w:r>
          </w:p>
        </w:tc>
        <w:tc>
          <w:tcPr>
            <w:tcW w:type="dxa" w:w="1949"/>
            <w:shd w:val="clear" w:color="auto" w:fill="F4F8FB"/>
          </w:tcPr>
          <w:p>
            <w:pPr>
              <w:jc w:val="center"/>
            </w:pPr>
            <w:r>
              <w:rPr>
                <w:rFonts w:ascii="Times New Roman" w:hAnsi="Times New Roman"/>
                <w:b/>
                <w:i w:val="0"/>
                <w:color w:val="888888"/>
                <w:sz w:val="15"/>
              </w:rPr>
              <w:t>PRICE TARGET</w:t>
              <w:br/>
            </w:r>
            <w:r>
              <w:rPr>
                <w:rFonts w:ascii="Times New Roman" w:hAnsi="Times New Roman"/>
                <w:b/>
                <w:i w:val="0"/>
                <w:color w:val="2E7D52"/>
                <w:sz w:val="21"/>
              </w:rPr>
              <w:t>$350</w:t>
            </w:r>
          </w:p>
        </w:tc>
        <w:tc>
          <w:tcPr>
            <w:tcW w:type="dxa" w:w="1949"/>
            <w:shd w:val="clear" w:color="auto" w:fill="F4F8FB"/>
          </w:tcPr>
          <w:p>
            <w:pPr>
              <w:jc w:val="center"/>
            </w:pPr>
            <w:r>
              <w:rPr>
                <w:rFonts w:ascii="Times New Roman" w:hAnsi="Times New Roman"/>
                <w:b/>
                <w:i w:val="0"/>
                <w:color w:val="888888"/>
                <w:sz w:val="15"/>
              </w:rPr>
              <w:t>CURRENT PRICE¹</w:t>
              <w:br/>
            </w:r>
            <w:r>
              <w:rPr>
                <w:rFonts w:ascii="Times New Roman" w:hAnsi="Times New Roman"/>
                <w:b/>
                <w:i w:val="0"/>
                <w:color w:val="444444"/>
                <w:sz w:val="21"/>
              </w:rPr>
              <w:t>$421.51²</w:t>
            </w:r>
          </w:p>
        </w:tc>
        <w:tc>
          <w:tcPr>
            <w:tcW w:type="dxa" w:w="1949"/>
            <w:shd w:val="clear" w:color="auto" w:fill="F4F8FB"/>
          </w:tcPr>
          <w:p>
            <w:pPr>
              <w:jc w:val="center"/>
            </w:pPr>
            <w:r>
              <w:rPr>
                <w:rFonts w:ascii="Times New Roman" w:hAnsi="Times New Roman"/>
                <w:b/>
                <w:i w:val="0"/>
                <w:color w:val="888888"/>
                <w:sz w:val="15"/>
              </w:rPr>
              <w:t>MARKET CAP</w:t>
              <w:br/>
            </w:r>
            <w:r>
              <w:rPr>
                <w:rFonts w:ascii="Times New Roman" w:hAnsi="Times New Roman"/>
                <w:b/>
                <w:i w:val="0"/>
                <w:color w:val="444444"/>
                <w:sz w:val="21"/>
              </w:rPr>
              <w:t>$475B</w:t>
            </w:r>
          </w:p>
        </w:tc>
        <w:tc>
          <w:tcPr>
            <w:tcW w:type="dxa" w:w="1949"/>
            <w:shd w:val="clear" w:color="auto" w:fill="F4F8FB"/>
          </w:tcPr>
          <w:p>
            <w:pPr>
              <w:jc w:val="center"/>
            </w:pPr>
            <w:r>
              <w:rPr>
                <w:rFonts w:ascii="Times New Roman" w:hAnsi="Times New Roman"/>
                <w:b/>
                <w:i w:val="0"/>
                <w:color w:val="888888"/>
                <w:sz w:val="15"/>
              </w:rPr>
              <w:t>REPORT DATE</w:t>
              <w:br/>
            </w:r>
            <w:r>
              <w:rPr>
                <w:rFonts w:ascii="Times New Roman" w:hAnsi="Times New Roman"/>
                <w:b/>
                <w:i w:val="0"/>
                <w:color w:val="444444"/>
                <w:sz w:val="21"/>
              </w:rPr>
              <w:t>December 17, 2025</w:t>
            </w:r>
          </w:p>
        </w:tc>
      </w:tr>
    </w:tbl>
    <w:p>
      <w:pPr>
        <w:spacing w:before="40" w:after="120"/>
        <w:jc w:val="left"/>
      </w:pPr>
      <w:r>
        <w:rPr>
          <w:rFonts w:ascii="Times New Roman" w:hAnsi="Times New Roman"/>
          <w:b w:val="0"/>
          <w:i/>
          <w:color w:val="888888"/>
          <w:sz w:val="15"/>
        </w:rPr>
        <w:t>¹ Price as of April 10, 2026. ² Current price reflects subsequent appreciation after Q1 FY2026 results.</w:t>
      </w:r>
    </w:p>
    <w:p>
      <w:pPr>
        <w:spacing w:before="200" w:after="60"/>
        <w:jc w:val="left"/>
        <w:pBdr>
          <w:bottom w:val="single" w:sz="6" w:space="4" w:color="1A6B8A"/>
        </w:pBdr>
      </w:pPr>
      <w:r>
        <w:rPr>
          <w:rFonts w:ascii="Times New Roman" w:hAnsi="Times New Roman"/>
          <w:b/>
          <w:i w:val="0"/>
          <w:color w:val="1A6B8A"/>
          <w:sz w:val="22"/>
        </w:rPr>
        <w:t>KEY TAKEAWAYS</w:t>
      </w:r>
    </w:p>
    <w:p>
      <w:pPr>
        <w:pStyle w:val="ListBullet"/>
        <w:spacing w:after="60"/>
      </w:pPr>
      <w:r>
        <w:rPr>
          <w:rFonts w:ascii="Times New Roman" w:hAnsi="Times New Roman"/>
          <w:b/>
          <w:i w:val="0"/>
          <w:color w:val="1A6B8A"/>
          <w:sz w:val="20"/>
        </w:rPr>
        <w:t xml:space="preserve">Record Revenue Beat: </w:t>
      </w:r>
      <w:r>
        <w:rPr>
          <w:rFonts w:ascii="Times New Roman" w:hAnsi="Times New Roman"/>
          <w:b w:val="0"/>
          <w:i w:val="0"/>
          <w:sz w:val="20"/>
        </w:rPr>
        <w:t>Revenue of $13.64B (+57% YoY, +21% QoQ) beat consensus of $13.0B by ~$0.64B (+4.9%), marking the third consecutive quarterly record.</w:t>
      </w:r>
    </w:p>
    <w:p>
      <w:pPr>
        <w:pStyle w:val="ListBullet"/>
        <w:spacing w:after="60"/>
      </w:pPr>
      <w:r>
        <w:rPr>
          <w:rFonts w:ascii="Times New Roman" w:hAnsi="Times New Roman"/>
          <w:b/>
          <w:i w:val="0"/>
          <w:color w:val="1A6B8A"/>
          <w:sz w:val="20"/>
        </w:rPr>
        <w:t xml:space="preserve">Massive EPS Upside: </w:t>
      </w:r>
      <w:r>
        <w:rPr>
          <w:rFonts w:ascii="Times New Roman" w:hAnsi="Times New Roman"/>
          <w:b w:val="0"/>
          <w:i w:val="0"/>
          <w:sz w:val="20"/>
        </w:rPr>
        <w:t>Non-GAAP EPS of $4.78 crushed consensus of $3.94 by $0.84 (+21.3%), driven by surging DRAM pricing and a favorable AI-driven product mix.</w:t>
      </w:r>
    </w:p>
    <w:p>
      <w:pPr>
        <w:pStyle w:val="ListBullet"/>
        <w:spacing w:after="60"/>
      </w:pPr>
      <w:r>
        <w:rPr>
          <w:rFonts w:ascii="Times New Roman" w:hAnsi="Times New Roman"/>
          <w:b/>
          <w:i w:val="0"/>
          <w:color w:val="1A6B8A"/>
          <w:sz w:val="20"/>
        </w:rPr>
        <w:t xml:space="preserve">Gross Margin Inflection: </w:t>
      </w:r>
      <w:r>
        <w:rPr>
          <w:rFonts w:ascii="Times New Roman" w:hAnsi="Times New Roman"/>
          <w:b w:val="0"/>
          <w:i w:val="0"/>
          <w:sz w:val="20"/>
        </w:rPr>
        <w:t>Non-GAAP gross margin expanded 11 percentage points sequentially to 56.8%, well above guidance of ~38.5%±1pp, reflecting HBM mix benefit and pricing power.</w:t>
      </w:r>
    </w:p>
    <w:p>
      <w:pPr>
        <w:pStyle w:val="ListBullet"/>
        <w:spacing w:after="60"/>
      </w:pPr>
      <w:r>
        <w:rPr>
          <w:rFonts w:ascii="Times New Roman" w:hAnsi="Times New Roman"/>
          <w:b/>
          <w:i w:val="0"/>
          <w:color w:val="1A6B8A"/>
          <w:sz w:val="20"/>
        </w:rPr>
        <w:t xml:space="preserve">HBM Sold Out Through 2026: </w:t>
      </w:r>
      <w:r>
        <w:rPr>
          <w:rFonts w:ascii="Times New Roman" w:hAnsi="Times New Roman"/>
          <w:b w:val="0"/>
          <w:i w:val="0"/>
          <w:sz w:val="20"/>
        </w:rPr>
        <w:t>Micron has completed price and volume agreements for its entire calendar 2026 HBM supply, including HBM4. HBM TAM seen growing ~40% CAGR to ~$100B by 2028.</w:t>
      </w:r>
    </w:p>
    <w:p>
      <w:pPr>
        <w:pStyle w:val="ListBullet"/>
        <w:spacing w:after="60"/>
      </w:pPr>
      <w:r>
        <w:rPr>
          <w:rFonts w:ascii="Times New Roman" w:hAnsi="Times New Roman"/>
          <w:b/>
          <w:i w:val="0"/>
          <w:color w:val="1A6B8A"/>
          <w:sz w:val="20"/>
        </w:rPr>
        <w:t xml:space="preserve">Guidance Surges: </w:t>
      </w:r>
      <w:r>
        <w:rPr>
          <w:rFonts w:ascii="Times New Roman" w:hAnsi="Times New Roman"/>
          <w:b w:val="0"/>
          <w:i w:val="0"/>
          <w:sz w:val="20"/>
        </w:rPr>
        <w:t>Q2 FY2026 guidance of $18.7B revenue and $8.42 non-GAAP EPS (vs. Q1 actuals of $13.64B/$4.78) implies ~37% sequential revenue acceleration, driven by HBM and data center ramp.</w:t>
      </w:r>
    </w:p>
    <w:p>
      <w:pPr>
        <w:pStyle w:val="ListBullet"/>
        <w:spacing w:after="60"/>
      </w:pPr>
      <w:r>
        <w:rPr>
          <w:rFonts w:ascii="Times New Roman" w:hAnsi="Times New Roman"/>
          <w:b/>
          <w:i w:val="0"/>
          <w:color w:val="1A6B8A"/>
          <w:sz w:val="20"/>
        </w:rPr>
        <w:t xml:space="preserve">CapEx Raised: </w:t>
      </w:r>
      <w:r>
        <w:rPr>
          <w:rFonts w:ascii="Times New Roman" w:hAnsi="Times New Roman"/>
          <w:b w:val="0"/>
          <w:i w:val="0"/>
          <w:sz w:val="20"/>
        </w:rPr>
        <w:t>FY2026 CapEx target raised to ~$20B (from $18B) to fund HBM capacity expansion and 1-gamma node ramp.</w:t>
      </w:r>
    </w:p>
    <w:p>
      <w:pPr>
        <w:pStyle w:val="ListBullet"/>
        <w:spacing w:after="60"/>
      </w:pPr>
      <w:r>
        <w:rPr>
          <w:rFonts w:ascii="Times New Roman" w:hAnsi="Times New Roman"/>
          <w:b/>
          <w:i w:val="0"/>
          <w:color w:val="1A6B8A"/>
          <w:sz w:val="20"/>
        </w:rPr>
        <w:t xml:space="preserve">Thesis: Intact — Upgrading Price Target: </w:t>
      </w:r>
      <w:r>
        <w:rPr>
          <w:rFonts w:ascii="Times New Roman" w:hAnsi="Times New Roman"/>
          <w:b w:val="0"/>
          <w:i w:val="0"/>
          <w:sz w:val="20"/>
        </w:rPr>
        <w:t>AI-driven memory demand continues to outpace supply. We maintain our BUY rating and raise our price target to $350 (from $290) on raised FY2026 estimates.</w:t>
      </w:r>
    </w:p>
    <w:p>
      <w:pPr>
        <w:spacing w:before="200" w:after="60"/>
        <w:jc w:val="left"/>
        <w:pBdr>
          <w:bottom w:val="single" w:sz="6" w:space="4" w:color="1A6B8A"/>
        </w:pBdr>
      </w:pPr>
      <w:r>
        <w:rPr>
          <w:rFonts w:ascii="Times New Roman" w:hAnsi="Times New Roman"/>
          <w:b/>
          <w:i w:val="0"/>
          <w:color w:val="1A6B8A"/>
          <w:sz w:val="22"/>
        </w:rPr>
        <w:t>RESULTS SNAPSHOT — Q1 FY2026 (QUARTER ENDED NOVEMBER 27, 2025)</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736"/>
            <w:shd w:val="clear" w:color="auto" w:fill="1A6B8A"/>
          </w:tcPr>
          <w:p>
            <w:pPr>
              <w:jc w:val="center"/>
            </w:pPr>
            <w:r>
              <w:rPr>
                <w:rFonts w:ascii="Times New Roman" w:hAnsi="Times New Roman"/>
                <w:b/>
                <w:i w:val="0"/>
                <w:color w:val="FFFFFF"/>
                <w:sz w:val="18"/>
              </w:rPr>
              <w:t>Metric</w:t>
            </w:r>
          </w:p>
        </w:tc>
        <w:tc>
          <w:tcPr>
            <w:tcW w:type="dxa" w:w="1584"/>
            <w:shd w:val="clear" w:color="auto" w:fill="1A6B8A"/>
          </w:tcPr>
          <w:p>
            <w:pPr>
              <w:jc w:val="center"/>
            </w:pPr>
            <w:r>
              <w:rPr>
                <w:rFonts w:ascii="Times New Roman" w:hAnsi="Times New Roman"/>
                <w:b/>
                <w:i w:val="0"/>
                <w:color w:val="FFFFFF"/>
                <w:sz w:val="18"/>
              </w:rPr>
              <w:t>Q1 FY26 Actual</w:t>
            </w:r>
          </w:p>
        </w:tc>
        <w:tc>
          <w:tcPr>
            <w:tcW w:type="dxa" w:w="1584"/>
            <w:shd w:val="clear" w:color="auto" w:fill="1A6B8A"/>
          </w:tcPr>
          <w:p>
            <w:pPr>
              <w:jc w:val="center"/>
            </w:pPr>
            <w:r>
              <w:rPr>
                <w:rFonts w:ascii="Times New Roman" w:hAnsi="Times New Roman"/>
                <w:b/>
                <w:i w:val="0"/>
                <w:color w:val="FFFFFF"/>
                <w:sz w:val="18"/>
              </w:rPr>
              <w:t>Consensus Est.</w:t>
            </w:r>
          </w:p>
        </w:tc>
        <w:tc>
          <w:tcPr>
            <w:tcW w:type="dxa" w:w="2448"/>
            <w:shd w:val="clear" w:color="auto" w:fill="1A6B8A"/>
          </w:tcPr>
          <w:p>
            <w:pPr>
              <w:jc w:val="center"/>
            </w:pPr>
            <w:r>
              <w:rPr>
                <w:rFonts w:ascii="Times New Roman" w:hAnsi="Times New Roman"/>
                <w:b/>
                <w:i w:val="0"/>
                <w:color w:val="FFFFFF"/>
                <w:sz w:val="18"/>
              </w:rPr>
              <w:t>Beat / Miss</w:t>
            </w:r>
          </w:p>
        </w:tc>
        <w:tc>
          <w:tcPr>
            <w:tcW w:type="dxa" w:w="1584"/>
            <w:shd w:val="clear" w:color="auto" w:fill="1A6B8A"/>
          </w:tcPr>
          <w:p>
            <w:pPr>
              <w:jc w:val="center"/>
            </w:pPr>
            <w:r>
              <w:rPr>
                <w:rFonts w:ascii="Times New Roman" w:hAnsi="Times New Roman"/>
                <w:b/>
                <w:i w:val="0"/>
                <w:color w:val="FFFFFF"/>
                <w:sz w:val="18"/>
              </w:rPr>
              <w:t>vs. Q1 FY25 YoY</w:t>
            </w:r>
          </w:p>
        </w:tc>
      </w:tr>
      <w:tr>
        <w:tc>
          <w:tcPr>
            <w:tcW w:type="dxa" w:w="2736"/>
            <w:shd w:val="clear" w:color="auto" w:fill="FFFFFF"/>
          </w:tcPr>
          <w:p>
            <w:pPr>
              <w:jc w:val="left"/>
            </w:pPr>
            <w:r>
              <w:rPr>
                <w:rFonts w:ascii="Times New Roman" w:hAnsi="Times New Roman"/>
                <w:b/>
                <w:i w:val="0"/>
                <w:sz w:val="18"/>
              </w:rPr>
              <w:t>Revenue</w:t>
            </w:r>
          </w:p>
        </w:tc>
        <w:tc>
          <w:tcPr>
            <w:tcW w:type="dxa" w:w="1584"/>
            <w:shd w:val="clear" w:color="auto" w:fill="FFFFFF"/>
          </w:tcPr>
          <w:p>
            <w:pPr>
              <w:jc w:val="center"/>
            </w:pPr>
            <w:r>
              <w:rPr>
                <w:rFonts w:ascii="Times New Roman" w:hAnsi="Times New Roman"/>
                <w:b w:val="0"/>
                <w:i w:val="0"/>
                <w:sz w:val="18"/>
              </w:rPr>
              <w:t>$13.64B</w:t>
            </w:r>
          </w:p>
        </w:tc>
        <w:tc>
          <w:tcPr>
            <w:tcW w:type="dxa" w:w="1584"/>
            <w:shd w:val="clear" w:color="auto" w:fill="FFFFFF"/>
          </w:tcPr>
          <w:p>
            <w:pPr>
              <w:jc w:val="center"/>
            </w:pPr>
            <w:r>
              <w:rPr>
                <w:rFonts w:ascii="Times New Roman" w:hAnsi="Times New Roman"/>
                <w:b w:val="0"/>
                <w:i w:val="0"/>
                <w:sz w:val="18"/>
              </w:rPr>
              <w:t>$13.00B</w:t>
            </w:r>
          </w:p>
        </w:tc>
        <w:tc>
          <w:tcPr>
            <w:tcW w:type="dxa" w:w="2448"/>
            <w:shd w:val="clear" w:color="auto" w:fill="FFFFFF"/>
          </w:tcPr>
          <w:p>
            <w:pPr>
              <w:jc w:val="center"/>
            </w:pPr>
            <w:r>
              <w:rPr>
                <w:rFonts w:ascii="Times New Roman" w:hAnsi="Times New Roman"/>
                <w:b w:val="0"/>
                <w:i w:val="0"/>
                <w:color w:val="1A6B8A"/>
                <w:sz w:val="18"/>
              </w:rPr>
              <w:t>▲ Beat +$0.64B (+4.9%)</w:t>
            </w:r>
          </w:p>
        </w:tc>
        <w:tc>
          <w:tcPr>
            <w:tcW w:type="dxa" w:w="1584"/>
            <w:shd w:val="clear" w:color="auto" w:fill="FFFFFF"/>
          </w:tcPr>
          <w:p>
            <w:pPr>
              <w:jc w:val="center"/>
            </w:pPr>
            <w:r>
              <w:rPr>
                <w:rFonts w:ascii="Times New Roman" w:hAnsi="Times New Roman"/>
                <w:b w:val="0"/>
                <w:i w:val="0"/>
                <w:sz w:val="18"/>
              </w:rPr>
              <w:t>+57.2%</w:t>
            </w:r>
          </w:p>
        </w:tc>
      </w:tr>
      <w:tr>
        <w:tc>
          <w:tcPr>
            <w:tcW w:type="dxa" w:w="2736"/>
            <w:shd w:val="clear" w:color="auto" w:fill="EAF2F8"/>
          </w:tcPr>
          <w:p>
            <w:pPr>
              <w:jc w:val="left"/>
            </w:pPr>
            <w:r>
              <w:rPr>
                <w:rFonts w:ascii="Times New Roman" w:hAnsi="Times New Roman"/>
                <w:b w:val="0"/>
                <w:i w:val="0"/>
                <w:sz w:val="18"/>
              </w:rPr>
              <w:t>DRAM Revenue</w:t>
            </w:r>
          </w:p>
        </w:tc>
        <w:tc>
          <w:tcPr>
            <w:tcW w:type="dxa" w:w="1584"/>
            <w:shd w:val="clear" w:color="auto" w:fill="EAF2F8"/>
          </w:tcPr>
          <w:p>
            <w:pPr>
              <w:jc w:val="center"/>
            </w:pPr>
            <w:r>
              <w:rPr>
                <w:rFonts w:ascii="Times New Roman" w:hAnsi="Times New Roman"/>
                <w:b w:val="0"/>
                <w:i w:val="0"/>
                <w:sz w:val="18"/>
              </w:rPr>
              <w:t>$10.80B</w:t>
            </w:r>
          </w:p>
        </w:tc>
        <w:tc>
          <w:tcPr>
            <w:tcW w:type="dxa" w:w="1584"/>
            <w:shd w:val="clear" w:color="auto" w:fill="EAF2F8"/>
          </w:tcPr>
          <w:p>
            <w:pPr>
              <w:jc w:val="center"/>
            </w:pPr>
            <w:r>
              <w:rPr>
                <w:rFonts w:ascii="Times New Roman" w:hAnsi="Times New Roman"/>
                <w:b w:val="0"/>
                <w:i w:val="0"/>
                <w:sz w:val="18"/>
              </w:rPr>
              <w:t>N/A</w:t>
            </w:r>
          </w:p>
        </w:tc>
        <w:tc>
          <w:tcPr>
            <w:tcW w:type="dxa" w:w="2448"/>
            <w:shd w:val="clear" w:color="auto" w:fill="EAF2F8"/>
          </w:tcPr>
          <w:p>
            <w:pPr>
              <w:jc w:val="center"/>
            </w:pPr>
            <w:r>
              <w:rPr>
                <w:rFonts w:ascii="Times New Roman" w:hAnsi="Times New Roman"/>
                <w:b w:val="0"/>
                <w:i w:val="0"/>
                <w:sz w:val="18"/>
              </w:rPr>
              <w:t>—</w:t>
            </w:r>
          </w:p>
        </w:tc>
        <w:tc>
          <w:tcPr>
            <w:tcW w:type="dxa" w:w="1584"/>
            <w:shd w:val="clear" w:color="auto" w:fill="EAF2F8"/>
          </w:tcPr>
          <w:p>
            <w:pPr>
              <w:jc w:val="center"/>
            </w:pPr>
            <w:r>
              <w:rPr>
                <w:rFonts w:ascii="Times New Roman" w:hAnsi="Times New Roman"/>
                <w:b w:val="0"/>
                <w:i w:val="0"/>
                <w:sz w:val="18"/>
              </w:rPr>
              <w:t>+69.0%</w:t>
            </w:r>
          </w:p>
        </w:tc>
      </w:tr>
      <w:tr>
        <w:tc>
          <w:tcPr>
            <w:tcW w:type="dxa" w:w="2736"/>
            <w:shd w:val="clear" w:color="auto" w:fill="FFFFFF"/>
          </w:tcPr>
          <w:p>
            <w:pPr>
              <w:jc w:val="left"/>
            </w:pPr>
            <w:r>
              <w:rPr>
                <w:rFonts w:ascii="Times New Roman" w:hAnsi="Times New Roman"/>
                <w:b w:val="0"/>
                <w:i w:val="0"/>
                <w:sz w:val="18"/>
              </w:rPr>
              <w:t>NAND Revenue</w:t>
            </w:r>
          </w:p>
        </w:tc>
        <w:tc>
          <w:tcPr>
            <w:tcW w:type="dxa" w:w="1584"/>
            <w:shd w:val="clear" w:color="auto" w:fill="FFFFFF"/>
          </w:tcPr>
          <w:p>
            <w:pPr>
              <w:jc w:val="center"/>
            </w:pPr>
            <w:r>
              <w:rPr>
                <w:rFonts w:ascii="Times New Roman" w:hAnsi="Times New Roman"/>
                <w:b w:val="0"/>
                <w:i w:val="0"/>
                <w:sz w:val="18"/>
              </w:rPr>
              <w:t>$2.70B</w:t>
            </w:r>
          </w:p>
        </w:tc>
        <w:tc>
          <w:tcPr>
            <w:tcW w:type="dxa" w:w="1584"/>
            <w:shd w:val="clear" w:color="auto" w:fill="FFFFFF"/>
          </w:tcPr>
          <w:p>
            <w:pPr>
              <w:jc w:val="center"/>
            </w:pPr>
            <w:r>
              <w:rPr>
                <w:rFonts w:ascii="Times New Roman" w:hAnsi="Times New Roman"/>
                <w:b w:val="0"/>
                <w:i w:val="0"/>
                <w:sz w:val="18"/>
              </w:rPr>
              <w:t>N/A</w:t>
            </w:r>
          </w:p>
        </w:tc>
        <w:tc>
          <w:tcPr>
            <w:tcW w:type="dxa" w:w="2448"/>
            <w:shd w:val="clear" w:color="auto" w:fill="FFFFFF"/>
          </w:tcPr>
          <w:p>
            <w:pPr>
              <w:jc w:val="center"/>
            </w:pPr>
            <w:r>
              <w:rPr>
                <w:rFonts w:ascii="Times New Roman" w:hAnsi="Times New Roman"/>
                <w:b w:val="0"/>
                <w:i w:val="0"/>
                <w:sz w:val="18"/>
              </w:rPr>
              <w:t>—</w:t>
            </w:r>
          </w:p>
        </w:tc>
        <w:tc>
          <w:tcPr>
            <w:tcW w:type="dxa" w:w="1584"/>
            <w:shd w:val="clear" w:color="auto" w:fill="FFFFFF"/>
          </w:tcPr>
          <w:p>
            <w:pPr>
              <w:jc w:val="center"/>
            </w:pPr>
            <w:r>
              <w:rPr>
                <w:rFonts w:ascii="Times New Roman" w:hAnsi="Times New Roman"/>
                <w:b w:val="0"/>
                <w:i w:val="0"/>
                <w:sz w:val="18"/>
              </w:rPr>
              <w:t>+22.0%</w:t>
            </w:r>
          </w:p>
        </w:tc>
      </w:tr>
      <w:tr>
        <w:tc>
          <w:tcPr>
            <w:tcW w:type="dxa" w:w="2736"/>
            <w:shd w:val="clear" w:color="auto" w:fill="EAF2F8"/>
          </w:tcPr>
          <w:p>
            <w:pPr>
              <w:jc w:val="left"/>
            </w:pPr>
            <w:r>
              <w:rPr>
                <w:rFonts w:ascii="Times New Roman" w:hAnsi="Times New Roman"/>
                <w:b w:val="0"/>
                <w:i w:val="0"/>
                <w:sz w:val="18"/>
              </w:rPr>
              <w:t>Non-GAAP Gross Margin</w:t>
            </w:r>
          </w:p>
        </w:tc>
        <w:tc>
          <w:tcPr>
            <w:tcW w:type="dxa" w:w="1584"/>
            <w:shd w:val="clear" w:color="auto" w:fill="EAF2F8"/>
          </w:tcPr>
          <w:p>
            <w:pPr>
              <w:jc w:val="center"/>
            </w:pPr>
            <w:r>
              <w:rPr>
                <w:rFonts w:ascii="Times New Roman" w:hAnsi="Times New Roman"/>
                <w:b w:val="0"/>
                <w:i w:val="0"/>
                <w:sz w:val="18"/>
              </w:rPr>
              <w:t>56.8%</w:t>
            </w:r>
          </w:p>
        </w:tc>
        <w:tc>
          <w:tcPr>
            <w:tcW w:type="dxa" w:w="1584"/>
            <w:shd w:val="clear" w:color="auto" w:fill="EAF2F8"/>
          </w:tcPr>
          <w:p>
            <w:pPr>
              <w:jc w:val="center"/>
            </w:pPr>
            <w:r>
              <w:rPr>
                <w:rFonts w:ascii="Times New Roman" w:hAnsi="Times New Roman"/>
                <w:b w:val="0"/>
                <w:i w:val="0"/>
                <w:sz w:val="18"/>
              </w:rPr>
              <w:t>~47.0%</w:t>
            </w:r>
          </w:p>
        </w:tc>
        <w:tc>
          <w:tcPr>
            <w:tcW w:type="dxa" w:w="2448"/>
            <w:shd w:val="clear" w:color="auto" w:fill="EAF2F8"/>
          </w:tcPr>
          <w:p>
            <w:pPr>
              <w:jc w:val="center"/>
            </w:pPr>
            <w:r>
              <w:rPr>
                <w:rFonts w:ascii="Times New Roman" w:hAnsi="Times New Roman"/>
                <w:b w:val="0"/>
                <w:i w:val="0"/>
                <w:color w:val="1A6B8A"/>
                <w:sz w:val="18"/>
              </w:rPr>
              <w:t>▲ Beat +980bps</w:t>
            </w:r>
          </w:p>
        </w:tc>
        <w:tc>
          <w:tcPr>
            <w:tcW w:type="dxa" w:w="1584"/>
            <w:shd w:val="clear" w:color="auto" w:fill="EAF2F8"/>
          </w:tcPr>
          <w:p>
            <w:pPr>
              <w:jc w:val="center"/>
            </w:pPr>
            <w:r>
              <w:rPr>
                <w:rFonts w:ascii="Times New Roman" w:hAnsi="Times New Roman"/>
                <w:b w:val="0"/>
                <w:i w:val="0"/>
                <w:sz w:val="18"/>
              </w:rPr>
              <w:t>+3,420bps</w:t>
            </w:r>
          </w:p>
        </w:tc>
      </w:tr>
      <w:tr>
        <w:tc>
          <w:tcPr>
            <w:tcW w:type="dxa" w:w="2736"/>
            <w:shd w:val="clear" w:color="auto" w:fill="FFFFFF"/>
          </w:tcPr>
          <w:p>
            <w:pPr>
              <w:jc w:val="left"/>
            </w:pPr>
            <w:r>
              <w:rPr>
                <w:rFonts w:ascii="Times New Roman" w:hAnsi="Times New Roman"/>
                <w:b w:val="0"/>
                <w:i w:val="0"/>
                <w:sz w:val="18"/>
              </w:rPr>
              <w:t>Non-GAAP Operating Income</w:t>
            </w:r>
          </w:p>
        </w:tc>
        <w:tc>
          <w:tcPr>
            <w:tcW w:type="dxa" w:w="1584"/>
            <w:shd w:val="clear" w:color="auto" w:fill="FFFFFF"/>
          </w:tcPr>
          <w:p>
            <w:pPr>
              <w:jc w:val="center"/>
            </w:pPr>
            <w:r>
              <w:rPr>
                <w:rFonts w:ascii="Times New Roman" w:hAnsi="Times New Roman"/>
                <w:b w:val="0"/>
                <w:i w:val="0"/>
                <w:sz w:val="18"/>
              </w:rPr>
              <w:t>$6.4B</w:t>
            </w:r>
          </w:p>
        </w:tc>
        <w:tc>
          <w:tcPr>
            <w:tcW w:type="dxa" w:w="1584"/>
            <w:shd w:val="clear" w:color="auto" w:fill="FFFFFF"/>
          </w:tcPr>
          <w:p>
            <w:pPr>
              <w:jc w:val="center"/>
            </w:pPr>
            <w:r>
              <w:rPr>
                <w:rFonts w:ascii="Times New Roman" w:hAnsi="Times New Roman"/>
                <w:b w:val="0"/>
                <w:i w:val="0"/>
                <w:sz w:val="18"/>
              </w:rPr>
              <w:t>N/A</w:t>
            </w:r>
          </w:p>
        </w:tc>
        <w:tc>
          <w:tcPr>
            <w:tcW w:type="dxa" w:w="2448"/>
            <w:shd w:val="clear" w:color="auto" w:fill="FFFFFF"/>
          </w:tcPr>
          <w:p>
            <w:pPr>
              <w:jc w:val="center"/>
            </w:pPr>
            <w:r>
              <w:rPr>
                <w:rFonts w:ascii="Times New Roman" w:hAnsi="Times New Roman"/>
                <w:b w:val="0"/>
                <w:i w:val="0"/>
                <w:sz w:val="18"/>
              </w:rPr>
              <w:t>—</w:t>
            </w:r>
          </w:p>
        </w:tc>
        <w:tc>
          <w:tcPr>
            <w:tcW w:type="dxa" w:w="1584"/>
            <w:shd w:val="clear" w:color="auto" w:fill="FFFFFF"/>
          </w:tcPr>
          <w:p>
            <w:pPr>
              <w:jc w:val="center"/>
            </w:pPr>
            <w:r>
              <w:rPr>
                <w:rFonts w:ascii="Times New Roman" w:hAnsi="Times New Roman"/>
                <w:b w:val="0"/>
                <w:i w:val="0"/>
                <w:sz w:val="18"/>
              </w:rPr>
              <w:t>N/M</w:t>
            </w:r>
          </w:p>
        </w:tc>
      </w:tr>
      <w:tr>
        <w:tc>
          <w:tcPr>
            <w:tcW w:type="dxa" w:w="2736"/>
            <w:shd w:val="clear" w:color="auto" w:fill="EAF2F8"/>
          </w:tcPr>
          <w:p>
            <w:pPr>
              <w:jc w:val="left"/>
            </w:pPr>
            <w:r>
              <w:rPr>
                <w:rFonts w:ascii="Times New Roman" w:hAnsi="Times New Roman"/>
                <w:b w:val="0"/>
                <w:i w:val="0"/>
                <w:sz w:val="18"/>
              </w:rPr>
              <w:t>Non-GAAP EPS</w:t>
            </w:r>
          </w:p>
        </w:tc>
        <w:tc>
          <w:tcPr>
            <w:tcW w:type="dxa" w:w="1584"/>
            <w:shd w:val="clear" w:color="auto" w:fill="EAF2F8"/>
          </w:tcPr>
          <w:p>
            <w:pPr>
              <w:jc w:val="center"/>
            </w:pPr>
            <w:r>
              <w:rPr>
                <w:rFonts w:ascii="Times New Roman" w:hAnsi="Times New Roman"/>
                <w:b w:val="0"/>
                <w:i w:val="0"/>
                <w:sz w:val="18"/>
              </w:rPr>
              <w:t>$4.78</w:t>
            </w:r>
          </w:p>
        </w:tc>
        <w:tc>
          <w:tcPr>
            <w:tcW w:type="dxa" w:w="1584"/>
            <w:shd w:val="clear" w:color="auto" w:fill="EAF2F8"/>
          </w:tcPr>
          <w:p>
            <w:pPr>
              <w:jc w:val="center"/>
            </w:pPr>
            <w:r>
              <w:rPr>
                <w:rFonts w:ascii="Times New Roman" w:hAnsi="Times New Roman"/>
                <w:b w:val="0"/>
                <w:i w:val="0"/>
                <w:sz w:val="18"/>
              </w:rPr>
              <w:t>$3.94</w:t>
            </w:r>
          </w:p>
        </w:tc>
        <w:tc>
          <w:tcPr>
            <w:tcW w:type="dxa" w:w="2448"/>
            <w:shd w:val="clear" w:color="auto" w:fill="EAF2F8"/>
          </w:tcPr>
          <w:p>
            <w:pPr>
              <w:jc w:val="center"/>
            </w:pPr>
            <w:r>
              <w:rPr>
                <w:rFonts w:ascii="Times New Roman" w:hAnsi="Times New Roman"/>
                <w:b w:val="0"/>
                <w:i w:val="0"/>
                <w:color w:val="1A6B8A"/>
                <w:sz w:val="18"/>
              </w:rPr>
              <w:t>▲ Beat +$0.84 (+21.3%)</w:t>
            </w:r>
          </w:p>
        </w:tc>
        <w:tc>
          <w:tcPr>
            <w:tcW w:type="dxa" w:w="1584"/>
            <w:shd w:val="clear" w:color="auto" w:fill="EAF2F8"/>
          </w:tcPr>
          <w:p>
            <w:pPr>
              <w:jc w:val="center"/>
            </w:pPr>
            <w:r>
              <w:rPr>
                <w:rFonts w:ascii="Times New Roman" w:hAnsi="Times New Roman"/>
                <w:b w:val="0"/>
                <w:i w:val="0"/>
                <w:sz w:val="18"/>
              </w:rPr>
              <w:t>+167.0%</w:t>
            </w:r>
          </w:p>
        </w:tc>
      </w:tr>
      <w:tr>
        <w:tc>
          <w:tcPr>
            <w:tcW w:type="dxa" w:w="2736"/>
            <w:shd w:val="clear" w:color="auto" w:fill="FFFFFF"/>
          </w:tcPr>
          <w:p>
            <w:pPr>
              <w:jc w:val="left"/>
            </w:pPr>
            <w:r>
              <w:rPr>
                <w:rFonts w:ascii="Times New Roman" w:hAnsi="Times New Roman"/>
                <w:b w:val="0"/>
                <w:i w:val="0"/>
                <w:sz w:val="18"/>
              </w:rPr>
              <w:t>GAAP EPS</w:t>
            </w:r>
          </w:p>
        </w:tc>
        <w:tc>
          <w:tcPr>
            <w:tcW w:type="dxa" w:w="1584"/>
            <w:shd w:val="clear" w:color="auto" w:fill="FFFFFF"/>
          </w:tcPr>
          <w:p>
            <w:pPr>
              <w:jc w:val="center"/>
            </w:pPr>
            <w:r>
              <w:rPr>
                <w:rFonts w:ascii="Times New Roman" w:hAnsi="Times New Roman"/>
                <w:b w:val="0"/>
                <w:i w:val="0"/>
                <w:sz w:val="18"/>
              </w:rPr>
              <w:t>$4.60</w:t>
            </w:r>
          </w:p>
        </w:tc>
        <w:tc>
          <w:tcPr>
            <w:tcW w:type="dxa" w:w="1584"/>
            <w:shd w:val="clear" w:color="auto" w:fill="FFFFFF"/>
          </w:tcPr>
          <w:p>
            <w:pPr>
              <w:jc w:val="center"/>
            </w:pPr>
            <w:r>
              <w:rPr>
                <w:rFonts w:ascii="Times New Roman" w:hAnsi="Times New Roman"/>
                <w:b w:val="0"/>
                <w:i w:val="0"/>
                <w:sz w:val="18"/>
              </w:rPr>
              <w:t>$3.70</w:t>
            </w:r>
          </w:p>
        </w:tc>
        <w:tc>
          <w:tcPr>
            <w:tcW w:type="dxa" w:w="2448"/>
            <w:shd w:val="clear" w:color="auto" w:fill="FFFFFF"/>
          </w:tcPr>
          <w:p>
            <w:pPr>
              <w:jc w:val="center"/>
            </w:pPr>
            <w:r>
              <w:rPr>
                <w:rFonts w:ascii="Times New Roman" w:hAnsi="Times New Roman"/>
                <w:b w:val="0"/>
                <w:i w:val="0"/>
                <w:color w:val="1A6B8A"/>
                <w:sz w:val="18"/>
              </w:rPr>
              <w:t>▲ Beat +$0.90 (+24.3%)</w:t>
            </w:r>
          </w:p>
        </w:tc>
        <w:tc>
          <w:tcPr>
            <w:tcW w:type="dxa" w:w="1584"/>
            <w:shd w:val="clear" w:color="auto" w:fill="FFFFFF"/>
          </w:tcPr>
          <w:p>
            <w:pPr>
              <w:jc w:val="center"/>
            </w:pPr>
            <w:r>
              <w:rPr>
                <w:rFonts w:ascii="Times New Roman" w:hAnsi="Times New Roman"/>
                <w:b w:val="0"/>
                <w:i w:val="0"/>
                <w:sz w:val="18"/>
              </w:rPr>
              <w:t>N/M</w:t>
            </w:r>
          </w:p>
        </w:tc>
      </w:tr>
      <w:tr>
        <w:tc>
          <w:tcPr>
            <w:tcW w:type="dxa" w:w="2736"/>
            <w:shd w:val="clear" w:color="auto" w:fill="EAF2F8"/>
          </w:tcPr>
          <w:p>
            <w:pPr>
              <w:jc w:val="left"/>
            </w:pPr>
            <w:r>
              <w:rPr>
                <w:rFonts w:ascii="Times New Roman" w:hAnsi="Times New Roman"/>
                <w:b w:val="0"/>
                <w:i w:val="0"/>
                <w:sz w:val="18"/>
              </w:rPr>
              <w:t>Operating Cash Flow</w:t>
            </w:r>
          </w:p>
        </w:tc>
        <w:tc>
          <w:tcPr>
            <w:tcW w:type="dxa" w:w="1584"/>
            <w:shd w:val="clear" w:color="auto" w:fill="EAF2F8"/>
          </w:tcPr>
          <w:p>
            <w:pPr>
              <w:jc w:val="center"/>
            </w:pPr>
            <w:r>
              <w:rPr>
                <w:rFonts w:ascii="Times New Roman" w:hAnsi="Times New Roman"/>
                <w:b w:val="0"/>
                <w:i w:val="0"/>
                <w:sz w:val="18"/>
              </w:rPr>
              <w:t>$8.41B</w:t>
            </w:r>
          </w:p>
        </w:tc>
        <w:tc>
          <w:tcPr>
            <w:tcW w:type="dxa" w:w="1584"/>
            <w:shd w:val="clear" w:color="auto" w:fill="EAF2F8"/>
          </w:tcPr>
          <w:p>
            <w:pPr>
              <w:jc w:val="center"/>
            </w:pPr>
            <w:r>
              <w:rPr>
                <w:rFonts w:ascii="Times New Roman" w:hAnsi="Times New Roman"/>
                <w:b w:val="0"/>
                <w:i w:val="0"/>
                <w:sz w:val="18"/>
              </w:rPr>
              <w:t>N/A</w:t>
            </w:r>
          </w:p>
        </w:tc>
        <w:tc>
          <w:tcPr>
            <w:tcW w:type="dxa" w:w="2448"/>
            <w:shd w:val="clear" w:color="auto" w:fill="EAF2F8"/>
          </w:tcPr>
          <w:p>
            <w:pPr>
              <w:jc w:val="center"/>
            </w:pPr>
            <w:r>
              <w:rPr>
                <w:rFonts w:ascii="Times New Roman" w:hAnsi="Times New Roman"/>
                <w:b w:val="0"/>
                <w:i w:val="0"/>
                <w:sz w:val="18"/>
              </w:rPr>
              <w:t>—</w:t>
            </w:r>
          </w:p>
        </w:tc>
        <w:tc>
          <w:tcPr>
            <w:tcW w:type="dxa" w:w="1584"/>
            <w:shd w:val="clear" w:color="auto" w:fill="EAF2F8"/>
          </w:tcPr>
          <w:p>
            <w:pPr>
              <w:jc w:val="center"/>
            </w:pPr>
            <w:r>
              <w:rPr>
                <w:rFonts w:ascii="Times New Roman" w:hAnsi="Times New Roman"/>
                <w:b w:val="0"/>
                <w:i w:val="0"/>
                <w:sz w:val="18"/>
              </w:rPr>
              <w:t>+243%</w:t>
            </w:r>
          </w:p>
        </w:tc>
      </w:tr>
      <w:tr>
        <w:tc>
          <w:tcPr>
            <w:tcW w:type="dxa" w:w="2736"/>
            <w:shd w:val="clear" w:color="auto" w:fill="FFFFFF"/>
          </w:tcPr>
          <w:p>
            <w:pPr>
              <w:jc w:val="left"/>
            </w:pPr>
            <w:r>
              <w:rPr>
                <w:rFonts w:ascii="Times New Roman" w:hAnsi="Times New Roman"/>
                <w:b w:val="0"/>
                <w:i w:val="0"/>
                <w:sz w:val="18"/>
              </w:rPr>
              <w:t>Free Cash Flow</w:t>
            </w:r>
          </w:p>
        </w:tc>
        <w:tc>
          <w:tcPr>
            <w:tcW w:type="dxa" w:w="1584"/>
            <w:shd w:val="clear" w:color="auto" w:fill="FFFFFF"/>
          </w:tcPr>
          <w:p>
            <w:pPr>
              <w:jc w:val="center"/>
            </w:pPr>
            <w:r>
              <w:rPr>
                <w:rFonts w:ascii="Times New Roman" w:hAnsi="Times New Roman"/>
                <w:b w:val="0"/>
                <w:i w:val="0"/>
                <w:sz w:val="18"/>
              </w:rPr>
              <w:t>$3.93B</w:t>
            </w:r>
          </w:p>
        </w:tc>
        <w:tc>
          <w:tcPr>
            <w:tcW w:type="dxa" w:w="1584"/>
            <w:shd w:val="clear" w:color="auto" w:fill="FFFFFF"/>
          </w:tcPr>
          <w:p>
            <w:pPr>
              <w:jc w:val="center"/>
            </w:pPr>
            <w:r>
              <w:rPr>
                <w:rFonts w:ascii="Times New Roman" w:hAnsi="Times New Roman"/>
                <w:b w:val="0"/>
                <w:i w:val="0"/>
                <w:sz w:val="18"/>
              </w:rPr>
              <w:t>N/A</w:t>
            </w:r>
          </w:p>
        </w:tc>
        <w:tc>
          <w:tcPr>
            <w:tcW w:type="dxa" w:w="2448"/>
            <w:shd w:val="clear" w:color="auto" w:fill="FFFFFF"/>
          </w:tcPr>
          <w:p>
            <w:pPr>
              <w:jc w:val="center"/>
            </w:pPr>
            <w:r>
              <w:rPr>
                <w:rFonts w:ascii="Times New Roman" w:hAnsi="Times New Roman"/>
                <w:b w:val="0"/>
                <w:i w:val="0"/>
                <w:sz w:val="18"/>
              </w:rPr>
              <w:t>—</w:t>
            </w:r>
          </w:p>
        </w:tc>
        <w:tc>
          <w:tcPr>
            <w:tcW w:type="dxa" w:w="1584"/>
            <w:shd w:val="clear" w:color="auto" w:fill="FFFFFF"/>
          </w:tcPr>
          <w:p>
            <w:pPr>
              <w:jc w:val="center"/>
            </w:pPr>
            <w:r>
              <w:rPr>
                <w:rFonts w:ascii="Times New Roman" w:hAnsi="Times New Roman"/>
                <w:b w:val="0"/>
                <w:i w:val="0"/>
                <w:sz w:val="18"/>
              </w:rPr>
              <w:t>N/M</w:t>
            </w:r>
          </w:p>
        </w:tc>
      </w:tr>
      <w:tr>
        <w:tc>
          <w:tcPr>
            <w:tcW w:type="dxa" w:w="2736"/>
            <w:shd w:val="clear" w:color="auto" w:fill="EAF2F8"/>
          </w:tcPr>
          <w:p>
            <w:pPr>
              <w:jc w:val="left"/>
            </w:pPr>
            <w:r>
              <w:rPr>
                <w:rFonts w:ascii="Times New Roman" w:hAnsi="Times New Roman"/>
                <w:b w:val="0"/>
                <w:i w:val="0"/>
                <w:sz w:val="18"/>
              </w:rPr>
              <w:t>CapEx</w:t>
            </w:r>
          </w:p>
        </w:tc>
        <w:tc>
          <w:tcPr>
            <w:tcW w:type="dxa" w:w="1584"/>
            <w:shd w:val="clear" w:color="auto" w:fill="EAF2F8"/>
          </w:tcPr>
          <w:p>
            <w:pPr>
              <w:jc w:val="center"/>
            </w:pPr>
            <w:r>
              <w:rPr>
                <w:rFonts w:ascii="Times New Roman" w:hAnsi="Times New Roman"/>
                <w:b w:val="0"/>
                <w:i w:val="0"/>
                <w:sz w:val="18"/>
              </w:rPr>
              <w:t>$4.50B</w:t>
            </w:r>
          </w:p>
        </w:tc>
        <w:tc>
          <w:tcPr>
            <w:tcW w:type="dxa" w:w="1584"/>
            <w:shd w:val="clear" w:color="auto" w:fill="EAF2F8"/>
          </w:tcPr>
          <w:p>
            <w:pPr>
              <w:jc w:val="center"/>
            </w:pPr>
            <w:r>
              <w:rPr>
                <w:rFonts w:ascii="Times New Roman" w:hAnsi="Times New Roman"/>
                <w:b w:val="0"/>
                <w:i w:val="0"/>
                <w:sz w:val="18"/>
              </w:rPr>
              <w:t>N/A</w:t>
            </w:r>
          </w:p>
        </w:tc>
        <w:tc>
          <w:tcPr>
            <w:tcW w:type="dxa" w:w="2448"/>
            <w:shd w:val="clear" w:color="auto" w:fill="EAF2F8"/>
          </w:tcPr>
          <w:p>
            <w:pPr>
              <w:jc w:val="center"/>
            </w:pPr>
            <w:r>
              <w:rPr>
                <w:rFonts w:ascii="Times New Roman" w:hAnsi="Times New Roman"/>
                <w:b w:val="0"/>
                <w:i w:val="0"/>
                <w:sz w:val="18"/>
              </w:rPr>
              <w:t>—</w:t>
            </w:r>
          </w:p>
        </w:tc>
        <w:tc>
          <w:tcPr>
            <w:tcW w:type="dxa" w:w="1584"/>
            <w:shd w:val="clear" w:color="auto" w:fill="EAF2F8"/>
          </w:tcPr>
          <w:p>
            <w:pPr>
              <w:jc w:val="center"/>
            </w:pPr>
            <w:r>
              <w:rPr>
                <w:rFonts w:ascii="Times New Roman" w:hAnsi="Times New Roman"/>
                <w:b w:val="0"/>
                <w:i w:val="0"/>
                <w:sz w:val="18"/>
              </w:rPr>
              <w:t>—</w:t>
            </w:r>
          </w:p>
        </w:tc>
      </w:tr>
    </w:tbl>
    <w:p>
      <w:pPr>
        <w:spacing w:before="40" w:after="80"/>
        <w:jc w:val="left"/>
      </w:pPr>
      <w:r>
        <w:rPr>
          <w:rFonts w:ascii="Times New Roman" w:hAnsi="Times New Roman"/>
          <w:b w:val="0"/>
          <w:i/>
          <w:color w:val="666666"/>
          <w:sz w:val="15"/>
        </w:rPr>
        <w:t>Source: Micron Q1 FY2026 Earnings Release (December 17, 2025); Bloomberg consensus as of December 17, 2025.</w:t>
      </w:r>
    </w:p>
    <w:p>
      <w:r>
        <w:br w:type="page"/>
      </w:r>
    </w:p>
    <w:p>
      <w:pPr>
        <w:spacing w:before="200" w:after="60"/>
        <w:jc w:val="left"/>
        <w:pBdr>
          <w:bottom w:val="single" w:sz="6" w:space="4" w:color="1A6B8A"/>
        </w:pBdr>
      </w:pPr>
      <w:r>
        <w:rPr>
          <w:rFonts w:ascii="Times New Roman" w:hAnsi="Times New Roman"/>
          <w:b/>
          <w:i w:val="0"/>
          <w:color w:val="1A6B8A"/>
          <w:sz w:val="22"/>
        </w:rPr>
        <w:t>DETAILED RESULTS ANALYSIS</w:t>
      </w:r>
    </w:p>
    <w:p>
      <w:pPr>
        <w:spacing w:before="120" w:after="40"/>
        <w:jc w:val="left"/>
      </w:pPr>
      <w:r>
        <w:rPr>
          <w:rFonts w:ascii="Times New Roman" w:hAnsi="Times New Roman"/>
          <w:b/>
          <w:i w:val="0"/>
          <w:color w:val="333333"/>
          <w:sz w:val="21"/>
        </w:rPr>
        <w:t>Revenue — Third Consecutive Record Quarter</w:t>
      </w:r>
    </w:p>
    <w:p>
      <w:pPr>
        <w:spacing w:before="0" w:after="120"/>
        <w:jc w:val="left"/>
      </w:pPr>
      <w:r>
        <w:rPr>
          <w:rFonts w:ascii="Times New Roman" w:hAnsi="Times New Roman"/>
          <w:b w:val="0"/>
          <w:i w:val="0"/>
          <w:sz w:val="20"/>
        </w:rPr>
        <w:t>Micron delivered revenue of $13.64 billion in Q1 FY2026, the third consecutive quarterly record, representing growth of 57.2% year-over-year and 20.5% sequentially. Results came in $640 million (4.9%) ahead of Bloomberg consensus of $13.00 billion and above the high end of Micron's own guidance range of $8.6B±$200M provided the prior quarter (guidance was for Q4 FY2025; Q1 FY2026 guidance was $13.0B±$400M). The outperformance was broad-based, with both DRAM and Cloud Memory exceeding internal and Street expectations.</w:t>
      </w:r>
    </w:p>
    <w:p>
      <w:pPr>
        <w:spacing w:before="120" w:after="40"/>
        <w:jc w:val="left"/>
      </w:pPr>
      <w:r>
        <w:rPr>
          <w:rFonts w:ascii="Times New Roman" w:hAnsi="Times New Roman"/>
          <w:b/>
          <w:i w:val="0"/>
          <w:color w:val="333333"/>
          <w:sz w:val="21"/>
        </w:rPr>
        <w:t>DRAM — Record $10.8B, +69% YoY</w:t>
      </w:r>
    </w:p>
    <w:p>
      <w:pPr>
        <w:spacing w:before="0" w:after="120"/>
        <w:jc w:val="left"/>
      </w:pPr>
      <w:r>
        <w:rPr>
          <w:rFonts w:ascii="Times New Roman" w:hAnsi="Times New Roman"/>
          <w:b w:val="0"/>
          <w:i w:val="0"/>
          <w:sz w:val="20"/>
        </w:rPr>
        <w:t>DRAM revenue reached a record $10.8 billion, representing 79% of total revenue, up 69% year-over-year and 20% sequentially. The principal driver was explosive demand for High Bandwidth Memory (HBM) from hyperscale cloud customers building AI training and inference infrastructure. Server DRAM pricing remained robust as supply discipline from all major DRAM manufacturers held firm. Micron's competitive position in HBM3E has improved materially, with the company completing supply agreements for its entire calendar 2026 HBM allocation — including the next-generation HBM4 product expected to ramp in Q2 FY2026. Management noted that HBM now accounts for a mid-teens percentage of total DRAM revenue, with content-per-server economics driving continued bit demand growth.</w:t>
      </w:r>
    </w:p>
    <w:p>
      <w:pPr>
        <w:jc w:val="center"/>
      </w:pPr>
      <w:r>
        <w:drawing>
          <wp:inline xmlns:a="http://schemas.openxmlformats.org/drawingml/2006/main" xmlns:pic="http://schemas.openxmlformats.org/drawingml/2006/picture">
            <wp:extent cx="5943600" cy="3450404"/>
            <wp:docPr id="1" name="Picture 1"/>
            <wp:cNvGraphicFramePr>
              <a:graphicFrameLocks noChangeAspect="1"/>
            </wp:cNvGraphicFramePr>
            <a:graphic>
              <a:graphicData uri="http://schemas.openxmlformats.org/drawingml/2006/picture">
                <pic:pic>
                  <pic:nvPicPr>
                    <pic:cNvPr id="0" name="mu_chart1_revenue.png"/>
                    <pic:cNvPicPr/>
                  </pic:nvPicPr>
                  <pic:blipFill>
                    <a:blip r:embed="rId9"/>
                    <a:stretch>
                      <a:fillRect/>
                    </a:stretch>
                  </pic:blipFill>
                  <pic:spPr>
                    <a:xfrm>
                      <a:off x="0" y="0"/>
                      <a:ext cx="5943600" cy="3450404"/>
                    </a:xfrm>
                    <a:prstGeom prst="rect"/>
                  </pic:spPr>
                </pic:pic>
              </a:graphicData>
            </a:graphic>
          </wp:inline>
        </w:drawing>
      </w:r>
    </w:p>
    <w:p>
      <w:pPr>
        <w:spacing w:before="0" w:after="120"/>
        <w:jc w:val="center"/>
      </w:pPr>
      <w:r>
        <w:rPr>
          <w:rFonts w:ascii="Times New Roman" w:hAnsi="Times New Roman"/>
          <w:b w:val="0"/>
          <w:i/>
          <w:color w:val="666666"/>
          <w:sz w:val="16"/>
        </w:rPr>
        <w:t>Exhibit 1: Quarterly Revenue Progression — Q1 FY2025 to Q1 FY2026 ($B)</w:t>
        <w:br/>
        <w:t>Source: Micron Q1 FY2026 Earnings Release (Dec 17, 2025); Form 10-Q filed Dec 18, 2025</w:t>
      </w:r>
    </w:p>
    <w:p>
      <w:pPr>
        <w:jc w:val="center"/>
      </w:pPr>
      <w:r>
        <w:drawing>
          <wp:inline xmlns:a="http://schemas.openxmlformats.org/drawingml/2006/main" xmlns:pic="http://schemas.openxmlformats.org/drawingml/2006/picture">
            <wp:extent cx="5943600" cy="3450404"/>
            <wp:docPr id="2" name="Picture 2"/>
            <wp:cNvGraphicFramePr>
              <a:graphicFrameLocks noChangeAspect="1"/>
            </wp:cNvGraphicFramePr>
            <a:graphic>
              <a:graphicData uri="http://schemas.openxmlformats.org/drawingml/2006/picture">
                <pic:pic>
                  <pic:nvPicPr>
                    <pic:cNvPr id="0" name="mu_chart2_dram_nand.png"/>
                    <pic:cNvPicPr/>
                  </pic:nvPicPr>
                  <pic:blipFill>
                    <a:blip r:embed="rId10"/>
                    <a:stretch>
                      <a:fillRect/>
                    </a:stretch>
                  </pic:blipFill>
                  <pic:spPr>
                    <a:xfrm>
                      <a:off x="0" y="0"/>
                      <a:ext cx="5943600" cy="3450404"/>
                    </a:xfrm>
                    <a:prstGeom prst="rect"/>
                  </pic:spPr>
                </pic:pic>
              </a:graphicData>
            </a:graphic>
          </wp:inline>
        </w:drawing>
      </w:r>
    </w:p>
    <w:p>
      <w:pPr>
        <w:spacing w:before="0" w:after="120"/>
        <w:jc w:val="center"/>
      </w:pPr>
      <w:r>
        <w:rPr>
          <w:rFonts w:ascii="Times New Roman" w:hAnsi="Times New Roman"/>
          <w:b w:val="0"/>
          <w:i/>
          <w:color w:val="666666"/>
          <w:sz w:val="16"/>
        </w:rPr>
        <w:t>Exhibit 2: DRAM vs. NAND Revenue by Quarter ($B)</w:t>
        <w:br/>
        <w:t>Source: Micron Earnings Releases Q1 FY2025–Q1 FY2026</w:t>
      </w:r>
    </w:p>
    <w:p>
      <w:pPr>
        <w:spacing w:before="120" w:after="40"/>
        <w:jc w:val="left"/>
      </w:pPr>
      <w:r>
        <w:rPr>
          <w:rFonts w:ascii="Times New Roman" w:hAnsi="Times New Roman"/>
          <w:b/>
          <w:i w:val="0"/>
          <w:color w:val="333333"/>
          <w:sz w:val="21"/>
        </w:rPr>
        <w:t>NAND — Steady at $2.7B, +22% YoY</w:t>
      </w:r>
    </w:p>
    <w:p>
      <w:pPr>
        <w:spacing w:before="0" w:after="120"/>
        <w:jc w:val="left"/>
      </w:pPr>
      <w:r>
        <w:rPr>
          <w:rFonts w:ascii="Times New Roman" w:hAnsi="Times New Roman"/>
          <w:b w:val="0"/>
          <w:i w:val="0"/>
          <w:sz w:val="20"/>
        </w:rPr>
        <w:t>NAND revenue of $2.7 billion grew 22% year-over-year but was essentially flat sequentially (+8%), reflecting a more muted pricing environment relative to DRAM. Enterprise SSD demand from data center customers remained healthy, partially offset by softer consumer NAND pricing. Micron continues to prioritize QLC NAND adoption for enterprise applications, which carries favorable ASP dynamics. NAND represented approximately 20% of total revenue in Q1 FY2026, down from 27% a year ago, reflecting the faster DRAM ramp.</w:t>
      </w:r>
    </w:p>
    <w:p>
      <w:pPr>
        <w:spacing w:before="120" w:after="40"/>
        <w:jc w:val="left"/>
      </w:pPr>
      <w:r>
        <w:rPr>
          <w:rFonts w:ascii="Times New Roman" w:hAnsi="Times New Roman"/>
          <w:b/>
          <w:i w:val="0"/>
          <w:color w:val="333333"/>
          <w:sz w:val="21"/>
        </w:rPr>
        <w:t>Business Unit Performance</w:t>
      </w:r>
    </w:p>
    <w:p>
      <w:pPr>
        <w:spacing w:before="0" w:after="120"/>
        <w:jc w:val="left"/>
      </w:pPr>
      <w:r>
        <w:rPr>
          <w:rFonts w:ascii="Times New Roman" w:hAnsi="Times New Roman"/>
          <w:b w:val="0"/>
          <w:i w:val="0"/>
          <w:sz w:val="20"/>
        </w:rPr>
        <w:t>Micron reports revenue across four business units. Cloud Memory Business Unit (CMBU), which captures HBM and server DRAM revenue, nearly doubled year-over-year to $5.28B (+100% YoY), driven by AI infrastructure buildout. Mobile and Client Business Unit (MCBU) contributed $4.30B (+63% YoY) as smartphone DRAM content increased and PC market conditions improved. Core Data Center Business Unit (CDBU) reached $2.40B (+4% YoY) on steady NAND demand from data center operators. Automotive and Embedded Business Unit (AEBU) delivered $1.66B (+49% YoY), reflecting strong ADAS and in-vehicle memory content growth.</w:t>
      </w:r>
    </w:p>
    <w:p>
      <w:pPr>
        <w:jc w:val="center"/>
      </w:pPr>
      <w:r>
        <w:drawing>
          <wp:inline xmlns:a="http://schemas.openxmlformats.org/drawingml/2006/main" xmlns:pic="http://schemas.openxmlformats.org/drawingml/2006/picture">
            <wp:extent cx="5943600" cy="3450404"/>
            <wp:docPr id="3" name="Picture 3"/>
            <wp:cNvGraphicFramePr>
              <a:graphicFrameLocks noChangeAspect="1"/>
            </wp:cNvGraphicFramePr>
            <a:graphic>
              <a:graphicData uri="http://schemas.openxmlformats.org/drawingml/2006/picture">
                <pic:pic>
                  <pic:nvPicPr>
                    <pic:cNvPr id="0" name="mu_chart5_business_units.png"/>
                    <pic:cNvPicPr/>
                  </pic:nvPicPr>
                  <pic:blipFill>
                    <a:blip r:embed="rId11"/>
                    <a:stretch>
                      <a:fillRect/>
                    </a:stretch>
                  </pic:blipFill>
                  <pic:spPr>
                    <a:xfrm>
                      <a:off x="0" y="0"/>
                      <a:ext cx="5943600" cy="3450404"/>
                    </a:xfrm>
                    <a:prstGeom prst="rect"/>
                  </pic:spPr>
                </pic:pic>
              </a:graphicData>
            </a:graphic>
          </wp:inline>
        </w:drawing>
      </w:r>
    </w:p>
    <w:p>
      <w:pPr>
        <w:spacing w:before="0" w:after="120"/>
        <w:jc w:val="center"/>
      </w:pPr>
      <w:r>
        <w:rPr>
          <w:rFonts w:ascii="Times New Roman" w:hAnsi="Times New Roman"/>
          <w:b w:val="0"/>
          <w:i/>
          <w:color w:val="666666"/>
          <w:sz w:val="16"/>
        </w:rPr>
        <w:t>Exhibit 3: Q1 FY2026 Revenue by Business Unit ($B)</w:t>
        <w:br/>
        <w:t>Source: Micron Q1 FY2026 Earnings Release (Dec 17, 2025)</w:t>
      </w:r>
    </w:p>
    <w:p>
      <w:r>
        <w:br w:type="page"/>
      </w:r>
    </w:p>
    <w:p>
      <w:pPr>
        <w:spacing w:before="200" w:after="60"/>
        <w:jc w:val="left"/>
        <w:pBdr>
          <w:bottom w:val="single" w:sz="6" w:space="4" w:color="1A6B8A"/>
        </w:pBdr>
      </w:pPr>
      <w:r>
        <w:rPr>
          <w:rFonts w:ascii="Times New Roman" w:hAnsi="Times New Roman"/>
          <w:b/>
          <w:i w:val="0"/>
          <w:color w:val="1A6B8A"/>
          <w:sz w:val="22"/>
        </w:rPr>
        <w:t>KEY METRICS &amp; GUIDANCE</w:t>
      </w:r>
    </w:p>
    <w:p>
      <w:pPr>
        <w:spacing w:before="120" w:after="40"/>
        <w:jc w:val="left"/>
      </w:pPr>
      <w:r>
        <w:rPr>
          <w:rFonts w:ascii="Times New Roman" w:hAnsi="Times New Roman"/>
          <w:b/>
          <w:i w:val="0"/>
          <w:color w:val="333333"/>
          <w:sz w:val="21"/>
        </w:rPr>
        <w:t>Gross Margin Inflection — 56.8%, +11pp QoQ</w:t>
      </w:r>
    </w:p>
    <w:p>
      <w:pPr>
        <w:spacing w:before="0" w:after="120"/>
        <w:jc w:val="left"/>
      </w:pPr>
      <w:r>
        <w:rPr>
          <w:rFonts w:ascii="Times New Roman" w:hAnsi="Times New Roman"/>
          <w:b w:val="0"/>
          <w:i w:val="0"/>
          <w:sz w:val="20"/>
        </w:rPr>
        <w:t>The headline surprise this quarter was gross margin expansion. Non-GAAP gross margin of 56.8% exceeded management's guidance midpoint of approximately 47.5% by ~930 basis points and surpassed analyst consensus of ~47.0% by ~980bps. The outperformance was driven by three factors: (1) favorable HBM product mix, which carries materially higher ASPs and margins than standard DDR5; (2) better-than-expected DRAM pricing across server and mobile segments; and (3) strong cost execution on the 1-beta node technology rollout. This represents an 11 percentage point sequential increase from 45.8% in Q4 FY2025 and a ~34 percentage point improvement from 22.6% in Q1 FY2025, underscoring the dramatic margin recovery since the trough.</w:t>
      </w:r>
    </w:p>
    <w:p>
      <w:pPr>
        <w:jc w:val="center"/>
      </w:pPr>
      <w:r>
        <w:drawing>
          <wp:inline xmlns:a="http://schemas.openxmlformats.org/drawingml/2006/main" xmlns:pic="http://schemas.openxmlformats.org/drawingml/2006/picture">
            <wp:extent cx="5943600" cy="3450404"/>
            <wp:docPr id="4" name="Picture 4"/>
            <wp:cNvGraphicFramePr>
              <a:graphicFrameLocks noChangeAspect="1"/>
            </wp:cNvGraphicFramePr>
            <a:graphic>
              <a:graphicData uri="http://schemas.openxmlformats.org/drawingml/2006/picture">
                <pic:pic>
                  <pic:nvPicPr>
                    <pic:cNvPr id="0" name="mu_chart4_gross_margin.png"/>
                    <pic:cNvPicPr/>
                  </pic:nvPicPr>
                  <pic:blipFill>
                    <a:blip r:embed="rId12"/>
                    <a:stretch>
                      <a:fillRect/>
                    </a:stretch>
                  </pic:blipFill>
                  <pic:spPr>
                    <a:xfrm>
                      <a:off x="0" y="0"/>
                      <a:ext cx="5943600" cy="3450404"/>
                    </a:xfrm>
                    <a:prstGeom prst="rect"/>
                  </pic:spPr>
                </pic:pic>
              </a:graphicData>
            </a:graphic>
          </wp:inline>
        </w:drawing>
      </w:r>
    </w:p>
    <w:p>
      <w:pPr>
        <w:spacing w:before="0" w:after="120"/>
        <w:jc w:val="center"/>
      </w:pPr>
      <w:r>
        <w:rPr>
          <w:rFonts w:ascii="Times New Roman" w:hAnsi="Times New Roman"/>
          <w:b w:val="0"/>
          <w:i/>
          <w:color w:val="666666"/>
          <w:sz w:val="16"/>
        </w:rPr>
        <w:t>Exhibit 4: Non-GAAP Gross Margin Trend (%)</w:t>
        <w:br/>
        <w:t>Source: Micron Earnings Releases Q1 FY2025–Q1 FY2026</w:t>
      </w:r>
    </w:p>
    <w:p>
      <w:pPr>
        <w:jc w:val="center"/>
      </w:pPr>
      <w:r>
        <w:drawing>
          <wp:inline xmlns:a="http://schemas.openxmlformats.org/drawingml/2006/main" xmlns:pic="http://schemas.openxmlformats.org/drawingml/2006/picture">
            <wp:extent cx="5943600" cy="3450404"/>
            <wp:docPr id="5" name="Picture 5"/>
            <wp:cNvGraphicFramePr>
              <a:graphicFrameLocks noChangeAspect="1"/>
            </wp:cNvGraphicFramePr>
            <a:graphic>
              <a:graphicData uri="http://schemas.openxmlformats.org/drawingml/2006/picture">
                <pic:pic>
                  <pic:nvPicPr>
                    <pic:cNvPr id="0" name="mu_chart6_beat_miss.png"/>
                    <pic:cNvPicPr/>
                  </pic:nvPicPr>
                  <pic:blipFill>
                    <a:blip r:embed="rId13"/>
                    <a:stretch>
                      <a:fillRect/>
                    </a:stretch>
                  </pic:blipFill>
                  <pic:spPr>
                    <a:xfrm>
                      <a:off x="0" y="0"/>
                      <a:ext cx="5943600" cy="3450404"/>
                    </a:xfrm>
                    <a:prstGeom prst="rect"/>
                  </pic:spPr>
                </pic:pic>
              </a:graphicData>
            </a:graphic>
          </wp:inline>
        </w:drawing>
      </w:r>
    </w:p>
    <w:p>
      <w:pPr>
        <w:spacing w:before="0" w:after="120"/>
        <w:jc w:val="center"/>
      </w:pPr>
      <w:r>
        <w:rPr>
          <w:rFonts w:ascii="Times New Roman" w:hAnsi="Times New Roman"/>
          <w:b w:val="0"/>
          <w:i/>
          <w:color w:val="666666"/>
          <w:sz w:val="16"/>
        </w:rPr>
        <w:t>Exhibit 5: Q1 FY2026 Results vs. Consensus — Beat Across All Key Metrics</w:t>
        <w:br/>
        <w:t>Source: Micron Q1 FY2026 Earnings Release; Bloomberg consensus as of Dec 17, 2025</w:t>
      </w:r>
    </w:p>
    <w:p>
      <w:pPr>
        <w:spacing w:before="120" w:after="40"/>
        <w:jc w:val="left"/>
      </w:pPr>
      <w:r>
        <w:rPr>
          <w:rFonts w:ascii="Times New Roman" w:hAnsi="Times New Roman"/>
          <w:b/>
          <w:i w:val="0"/>
          <w:color w:val="333333"/>
          <w:sz w:val="21"/>
        </w:rPr>
        <w:t>EPS — Record $4.78, Beat Consensus by 21%</w:t>
      </w:r>
    </w:p>
    <w:p>
      <w:pPr>
        <w:spacing w:before="0" w:after="120"/>
        <w:jc w:val="left"/>
      </w:pPr>
      <w:r>
        <w:rPr>
          <w:rFonts w:ascii="Times New Roman" w:hAnsi="Times New Roman"/>
          <w:b w:val="0"/>
          <w:i w:val="0"/>
          <w:sz w:val="20"/>
        </w:rPr>
        <w:t>Non-GAAP diluted EPS of $4.78 represented 58% sequential growth and 167% year-over-year growth, crushing consensus of $3.94 by $0.84 per share — a 21.3% beat. GAAP EPS of $4.60 also exceeded consensus of $3.70 by $0.90. The EPS beat reflected both operating leverage from the revenue upside and significant margin expansion. Non-GAAP operating income reached $6.4 billion, representing a 47.0% operating margin, versus 27.5% in Q1 FY2025.</w:t>
      </w:r>
    </w:p>
    <w:p>
      <w:pPr>
        <w:jc w:val="center"/>
      </w:pPr>
      <w:r>
        <w:drawing>
          <wp:inline xmlns:a="http://schemas.openxmlformats.org/drawingml/2006/main" xmlns:pic="http://schemas.openxmlformats.org/drawingml/2006/picture">
            <wp:extent cx="5943600" cy="3450404"/>
            <wp:docPr id="6" name="Picture 6"/>
            <wp:cNvGraphicFramePr>
              <a:graphicFrameLocks noChangeAspect="1"/>
            </wp:cNvGraphicFramePr>
            <a:graphic>
              <a:graphicData uri="http://schemas.openxmlformats.org/drawingml/2006/picture">
                <pic:pic>
                  <pic:nvPicPr>
                    <pic:cNvPr id="0" name="mu_chart3_eps.png"/>
                    <pic:cNvPicPr/>
                  </pic:nvPicPr>
                  <pic:blipFill>
                    <a:blip r:embed="rId14"/>
                    <a:stretch>
                      <a:fillRect/>
                    </a:stretch>
                  </pic:blipFill>
                  <pic:spPr>
                    <a:xfrm>
                      <a:off x="0" y="0"/>
                      <a:ext cx="5943600" cy="3450404"/>
                    </a:xfrm>
                    <a:prstGeom prst="rect"/>
                  </pic:spPr>
                </pic:pic>
              </a:graphicData>
            </a:graphic>
          </wp:inline>
        </w:drawing>
      </w:r>
    </w:p>
    <w:p>
      <w:pPr>
        <w:spacing w:before="0" w:after="120"/>
        <w:jc w:val="center"/>
      </w:pPr>
      <w:r>
        <w:rPr>
          <w:rFonts w:ascii="Times New Roman" w:hAnsi="Times New Roman"/>
          <w:b w:val="0"/>
          <w:i/>
          <w:color w:val="666666"/>
          <w:sz w:val="16"/>
        </w:rPr>
        <w:t>Exhibit 6: Non-GAAP Diluted EPS Progression vs. Consensus</w:t>
        <w:br/>
        <w:t>Source: Micron Q1 FY2026 Earnings Release; Bloomberg consensus</w:t>
      </w:r>
    </w:p>
    <w:p>
      <w:pPr>
        <w:spacing w:before="120" w:after="40"/>
        <w:jc w:val="left"/>
      </w:pPr>
      <w:r>
        <w:rPr>
          <w:rFonts w:ascii="Times New Roman" w:hAnsi="Times New Roman"/>
          <w:b/>
          <w:i w:val="0"/>
          <w:color w:val="333333"/>
          <w:sz w:val="21"/>
        </w:rPr>
        <w:t>Cash Flow &amp; Capital Allocation</w:t>
      </w:r>
    </w:p>
    <w:p>
      <w:pPr>
        <w:spacing w:before="0" w:after="120"/>
        <w:jc w:val="left"/>
      </w:pPr>
      <w:r>
        <w:rPr>
          <w:rFonts w:ascii="Times New Roman" w:hAnsi="Times New Roman"/>
          <w:b w:val="0"/>
          <w:i w:val="0"/>
          <w:sz w:val="20"/>
        </w:rPr>
        <w:t>Operating cash flow reached $8.41 billion in Q1 FY2026, up 47% sequentially from $5.73 billion in Q4 FY2025 and up 243% from $2.45 billion in Q1 FY2025. Capital expenditures of $4.50 billion supported the HBM capacity ramp and 1-gamma node development. Adjusted free cash flow of $3.93 billion was robust and is expected to grow substantially in Q2 FY2026 as revenue scales further. Management raised FY2026 CapEx guidance to ~$20 billion (from ~$18 billion previously), reflecting incremental investment in HBM manufacturing infrastructure.</w:t>
      </w:r>
    </w:p>
    <w:p>
      <w:pPr>
        <w:jc w:val="center"/>
      </w:pPr>
      <w:r>
        <w:drawing>
          <wp:inline xmlns:a="http://schemas.openxmlformats.org/drawingml/2006/main" xmlns:pic="http://schemas.openxmlformats.org/drawingml/2006/picture">
            <wp:extent cx="5943600" cy="3450404"/>
            <wp:docPr id="7" name="Picture 7"/>
            <wp:cNvGraphicFramePr>
              <a:graphicFrameLocks noChangeAspect="1"/>
            </wp:cNvGraphicFramePr>
            <a:graphic>
              <a:graphicData uri="http://schemas.openxmlformats.org/drawingml/2006/picture">
                <pic:pic>
                  <pic:nvPicPr>
                    <pic:cNvPr id="0" name="mu_chart7_cash_flow.png"/>
                    <pic:cNvPicPr/>
                  </pic:nvPicPr>
                  <pic:blipFill>
                    <a:blip r:embed="rId15"/>
                    <a:stretch>
                      <a:fillRect/>
                    </a:stretch>
                  </pic:blipFill>
                  <pic:spPr>
                    <a:xfrm>
                      <a:off x="0" y="0"/>
                      <a:ext cx="5943600" cy="3450404"/>
                    </a:xfrm>
                    <a:prstGeom prst="rect"/>
                  </pic:spPr>
                </pic:pic>
              </a:graphicData>
            </a:graphic>
          </wp:inline>
        </w:drawing>
      </w:r>
    </w:p>
    <w:p>
      <w:pPr>
        <w:spacing w:before="0" w:after="120"/>
        <w:jc w:val="center"/>
      </w:pPr>
      <w:r>
        <w:rPr>
          <w:rFonts w:ascii="Times New Roman" w:hAnsi="Times New Roman"/>
          <w:b w:val="0"/>
          <w:i/>
          <w:color w:val="666666"/>
          <w:sz w:val="16"/>
        </w:rPr>
        <w:t>Exhibit 7: Operating Cash Flow &amp; Capital Expenditures ($B)</w:t>
        <w:br/>
        <w:t>Source: Micron Earnings Releases; Form 10-Q filed December 18, 2025</w:t>
      </w:r>
    </w:p>
    <w:p>
      <w:pPr>
        <w:spacing w:before="120" w:after="40"/>
        <w:jc w:val="left"/>
      </w:pPr>
      <w:r>
        <w:rPr>
          <w:rFonts w:ascii="Times New Roman" w:hAnsi="Times New Roman"/>
          <w:b/>
          <w:i w:val="0"/>
          <w:color w:val="333333"/>
          <w:sz w:val="21"/>
        </w:rPr>
        <w:t>Q2 FY2026 Guidance — Exceptional Outlook</w:t>
      </w:r>
    </w:p>
    <w:p>
      <w:pPr>
        <w:spacing w:before="0" w:after="80"/>
        <w:jc w:val="left"/>
      </w:pPr>
      <w:r>
        <w:rPr>
          <w:rFonts w:ascii="Times New Roman" w:hAnsi="Times New Roman"/>
          <w:b w:val="0"/>
          <w:i w:val="0"/>
          <w:sz w:val="20"/>
        </w:rPr>
        <w:t>Management provided Q2 FY2026 guidance well above consensus expectations: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736"/>
            <w:shd w:val="clear" w:color="auto" w:fill="1A6B8A"/>
          </w:tcPr>
          <w:p>
            <w:pPr>
              <w:jc w:val="center"/>
            </w:pPr>
            <w:r>
              <w:rPr>
                <w:rFonts w:ascii="Times New Roman" w:hAnsi="Times New Roman"/>
                <w:b/>
                <w:i w:val="0"/>
                <w:color w:val="FFFFFF"/>
                <w:sz w:val="18"/>
              </w:rPr>
              <w:t>Metric</w:t>
            </w:r>
          </w:p>
        </w:tc>
        <w:tc>
          <w:tcPr>
            <w:tcW w:type="dxa" w:w="2016"/>
            <w:shd w:val="clear" w:color="auto" w:fill="1A6B8A"/>
          </w:tcPr>
          <w:p>
            <w:pPr>
              <w:jc w:val="center"/>
            </w:pPr>
            <w:r>
              <w:rPr>
                <w:rFonts w:ascii="Times New Roman" w:hAnsi="Times New Roman"/>
                <w:b/>
                <w:i w:val="0"/>
                <w:color w:val="FFFFFF"/>
                <w:sz w:val="18"/>
              </w:rPr>
              <w:t>Q1 FY26 Actual</w:t>
            </w:r>
          </w:p>
        </w:tc>
        <w:tc>
          <w:tcPr>
            <w:tcW w:type="dxa" w:w="2880"/>
            <w:shd w:val="clear" w:color="auto" w:fill="1A6B8A"/>
          </w:tcPr>
          <w:p>
            <w:pPr>
              <w:jc w:val="center"/>
            </w:pPr>
            <w:r>
              <w:rPr>
                <w:rFonts w:ascii="Times New Roman" w:hAnsi="Times New Roman"/>
                <w:b/>
                <w:i w:val="0"/>
                <w:color w:val="FFFFFF"/>
                <w:sz w:val="18"/>
              </w:rPr>
              <w:t>Q2 FY26 Guidance</w:t>
            </w:r>
          </w:p>
        </w:tc>
        <w:tc>
          <w:tcPr>
            <w:tcW w:type="dxa" w:w="2160"/>
            <w:shd w:val="clear" w:color="auto" w:fill="1A6B8A"/>
          </w:tcPr>
          <w:p>
            <w:pPr>
              <w:jc w:val="center"/>
            </w:pPr>
            <w:r>
              <w:rPr>
                <w:rFonts w:ascii="Times New Roman" w:hAnsi="Times New Roman"/>
                <w:b/>
                <w:i w:val="0"/>
                <w:color w:val="FFFFFF"/>
                <w:sz w:val="18"/>
              </w:rPr>
              <w:t>Sequential Change</w:t>
            </w:r>
          </w:p>
        </w:tc>
      </w:tr>
      <w:tr>
        <w:tc>
          <w:tcPr>
            <w:tcW w:type="dxa" w:w="2736"/>
            <w:shd w:val="clear" w:color="auto" w:fill="FFFFFF"/>
          </w:tcPr>
          <w:p>
            <w:pPr>
              <w:jc w:val="left"/>
            </w:pPr>
            <w:r>
              <w:rPr>
                <w:rFonts w:ascii="Times New Roman" w:hAnsi="Times New Roman"/>
                <w:b/>
                <w:i w:val="0"/>
                <w:sz w:val="18"/>
              </w:rPr>
              <w:t>Revenue</w:t>
            </w:r>
          </w:p>
        </w:tc>
        <w:tc>
          <w:tcPr>
            <w:tcW w:type="dxa" w:w="2016"/>
            <w:shd w:val="clear" w:color="auto" w:fill="FFFFFF"/>
          </w:tcPr>
          <w:p>
            <w:pPr>
              <w:jc w:val="center"/>
            </w:pPr>
            <w:r>
              <w:rPr>
                <w:rFonts w:ascii="Times New Roman" w:hAnsi="Times New Roman"/>
                <w:b w:val="0"/>
                <w:i w:val="0"/>
                <w:sz w:val="18"/>
              </w:rPr>
              <w:t>$13.64B</w:t>
            </w:r>
          </w:p>
        </w:tc>
        <w:tc>
          <w:tcPr>
            <w:tcW w:type="dxa" w:w="2880"/>
            <w:shd w:val="clear" w:color="auto" w:fill="FFFFFF"/>
          </w:tcPr>
          <w:p>
            <w:pPr>
              <w:jc w:val="center"/>
            </w:pPr>
            <w:r>
              <w:rPr>
                <w:rFonts w:ascii="Times New Roman" w:hAnsi="Times New Roman"/>
                <w:b w:val="0"/>
                <w:i w:val="0"/>
                <w:sz w:val="18"/>
              </w:rPr>
              <w:t>$18.70B (±$400M)</w:t>
            </w:r>
          </w:p>
        </w:tc>
        <w:tc>
          <w:tcPr>
            <w:tcW w:type="dxa" w:w="2160"/>
            <w:shd w:val="clear" w:color="auto" w:fill="FFFFFF"/>
          </w:tcPr>
          <w:p>
            <w:pPr>
              <w:jc w:val="center"/>
            </w:pPr>
            <w:r>
              <w:rPr>
                <w:rFonts w:ascii="Times New Roman" w:hAnsi="Times New Roman"/>
                <w:b w:val="0"/>
                <w:i w:val="0"/>
                <w:sz w:val="18"/>
              </w:rPr>
              <w:t>+37.1%</w:t>
            </w:r>
          </w:p>
        </w:tc>
      </w:tr>
      <w:tr>
        <w:tc>
          <w:tcPr>
            <w:tcW w:type="dxa" w:w="2736"/>
            <w:shd w:val="clear" w:color="auto" w:fill="EAF2F8"/>
          </w:tcPr>
          <w:p>
            <w:pPr>
              <w:jc w:val="left"/>
            </w:pPr>
            <w:r>
              <w:rPr>
                <w:rFonts w:ascii="Times New Roman" w:hAnsi="Times New Roman"/>
                <w:b w:val="0"/>
                <w:i w:val="0"/>
                <w:sz w:val="18"/>
              </w:rPr>
              <w:t>Gross Margin</w:t>
            </w:r>
          </w:p>
        </w:tc>
        <w:tc>
          <w:tcPr>
            <w:tcW w:type="dxa" w:w="2016"/>
            <w:shd w:val="clear" w:color="auto" w:fill="EAF2F8"/>
          </w:tcPr>
          <w:p>
            <w:pPr>
              <w:jc w:val="center"/>
            </w:pPr>
            <w:r>
              <w:rPr>
                <w:rFonts w:ascii="Times New Roman" w:hAnsi="Times New Roman"/>
                <w:b w:val="0"/>
                <w:i w:val="0"/>
                <w:sz w:val="18"/>
              </w:rPr>
              <w:t>56.8%</w:t>
            </w:r>
          </w:p>
        </w:tc>
        <w:tc>
          <w:tcPr>
            <w:tcW w:type="dxa" w:w="2880"/>
            <w:shd w:val="clear" w:color="auto" w:fill="EAF2F8"/>
          </w:tcPr>
          <w:p>
            <w:pPr>
              <w:jc w:val="center"/>
            </w:pPr>
            <w:r>
              <w:rPr>
                <w:rFonts w:ascii="Times New Roman" w:hAnsi="Times New Roman"/>
                <w:b w:val="0"/>
                <w:i w:val="0"/>
                <w:sz w:val="18"/>
              </w:rPr>
              <w:t>~68% (±1%)</w:t>
            </w:r>
          </w:p>
        </w:tc>
        <w:tc>
          <w:tcPr>
            <w:tcW w:type="dxa" w:w="2160"/>
            <w:shd w:val="clear" w:color="auto" w:fill="EAF2F8"/>
          </w:tcPr>
          <w:p>
            <w:pPr>
              <w:jc w:val="center"/>
            </w:pPr>
            <w:r>
              <w:rPr>
                <w:rFonts w:ascii="Times New Roman" w:hAnsi="Times New Roman"/>
                <w:b w:val="0"/>
                <w:i w:val="0"/>
                <w:sz w:val="18"/>
              </w:rPr>
              <w:t>+~1,120bps</w:t>
            </w:r>
          </w:p>
        </w:tc>
      </w:tr>
      <w:tr>
        <w:tc>
          <w:tcPr>
            <w:tcW w:type="dxa" w:w="2736"/>
            <w:shd w:val="clear" w:color="auto" w:fill="FFFFFF"/>
          </w:tcPr>
          <w:p>
            <w:pPr>
              <w:jc w:val="left"/>
            </w:pPr>
            <w:r>
              <w:rPr>
                <w:rFonts w:ascii="Times New Roman" w:hAnsi="Times New Roman"/>
                <w:b w:val="0"/>
                <w:i w:val="0"/>
                <w:sz w:val="18"/>
              </w:rPr>
              <w:t>Non-GAAP EPS</w:t>
            </w:r>
          </w:p>
        </w:tc>
        <w:tc>
          <w:tcPr>
            <w:tcW w:type="dxa" w:w="2016"/>
            <w:shd w:val="clear" w:color="auto" w:fill="FFFFFF"/>
          </w:tcPr>
          <w:p>
            <w:pPr>
              <w:jc w:val="center"/>
            </w:pPr>
            <w:r>
              <w:rPr>
                <w:rFonts w:ascii="Times New Roman" w:hAnsi="Times New Roman"/>
                <w:b w:val="0"/>
                <w:i w:val="0"/>
                <w:sz w:val="18"/>
              </w:rPr>
              <w:t>$4.78</w:t>
            </w:r>
          </w:p>
        </w:tc>
        <w:tc>
          <w:tcPr>
            <w:tcW w:type="dxa" w:w="2880"/>
            <w:shd w:val="clear" w:color="auto" w:fill="FFFFFF"/>
          </w:tcPr>
          <w:p>
            <w:pPr>
              <w:jc w:val="center"/>
            </w:pPr>
            <w:r>
              <w:rPr>
                <w:rFonts w:ascii="Times New Roman" w:hAnsi="Times New Roman"/>
                <w:b w:val="0"/>
                <w:i w:val="0"/>
                <w:sz w:val="18"/>
              </w:rPr>
              <w:t>$8.42 (±$0.20)</w:t>
            </w:r>
          </w:p>
        </w:tc>
        <w:tc>
          <w:tcPr>
            <w:tcW w:type="dxa" w:w="2160"/>
            <w:shd w:val="clear" w:color="auto" w:fill="FFFFFF"/>
          </w:tcPr>
          <w:p>
            <w:pPr>
              <w:jc w:val="center"/>
            </w:pPr>
            <w:r>
              <w:rPr>
                <w:rFonts w:ascii="Times New Roman" w:hAnsi="Times New Roman"/>
                <w:b w:val="0"/>
                <w:i w:val="0"/>
                <w:sz w:val="18"/>
              </w:rPr>
              <w:t>+76.2%</w:t>
            </w:r>
          </w:p>
        </w:tc>
      </w:tr>
      <w:tr>
        <w:tc>
          <w:tcPr>
            <w:tcW w:type="dxa" w:w="2736"/>
            <w:shd w:val="clear" w:color="auto" w:fill="EAF2F8"/>
          </w:tcPr>
          <w:p>
            <w:pPr>
              <w:jc w:val="left"/>
            </w:pPr>
            <w:r>
              <w:rPr>
                <w:rFonts w:ascii="Times New Roman" w:hAnsi="Times New Roman"/>
                <w:b w:val="0"/>
                <w:i w:val="0"/>
                <w:sz w:val="18"/>
              </w:rPr>
              <w:t>GAAP EPS</w:t>
            </w:r>
          </w:p>
        </w:tc>
        <w:tc>
          <w:tcPr>
            <w:tcW w:type="dxa" w:w="2016"/>
            <w:shd w:val="clear" w:color="auto" w:fill="EAF2F8"/>
          </w:tcPr>
          <w:p>
            <w:pPr>
              <w:jc w:val="center"/>
            </w:pPr>
            <w:r>
              <w:rPr>
                <w:rFonts w:ascii="Times New Roman" w:hAnsi="Times New Roman"/>
                <w:b w:val="0"/>
                <w:i w:val="0"/>
                <w:sz w:val="18"/>
              </w:rPr>
              <w:t>$4.60</w:t>
            </w:r>
          </w:p>
        </w:tc>
        <w:tc>
          <w:tcPr>
            <w:tcW w:type="dxa" w:w="2880"/>
            <w:shd w:val="clear" w:color="auto" w:fill="EAF2F8"/>
          </w:tcPr>
          <w:p>
            <w:pPr>
              <w:jc w:val="center"/>
            </w:pPr>
            <w:r>
              <w:rPr>
                <w:rFonts w:ascii="Times New Roman" w:hAnsi="Times New Roman"/>
                <w:b w:val="0"/>
                <w:i w:val="0"/>
                <w:sz w:val="18"/>
              </w:rPr>
              <w:t>~$8.05 (est.)</w:t>
            </w:r>
          </w:p>
        </w:tc>
        <w:tc>
          <w:tcPr>
            <w:tcW w:type="dxa" w:w="2160"/>
            <w:shd w:val="clear" w:color="auto" w:fill="EAF2F8"/>
          </w:tcPr>
          <w:p>
            <w:pPr>
              <w:jc w:val="center"/>
            </w:pPr>
            <w:r>
              <w:rPr>
                <w:rFonts w:ascii="Times New Roman" w:hAnsi="Times New Roman"/>
                <w:b w:val="0"/>
                <w:i w:val="0"/>
                <w:sz w:val="18"/>
              </w:rPr>
              <w:t>~+75%</w:t>
            </w:r>
          </w:p>
        </w:tc>
      </w:tr>
    </w:tbl>
    <w:p>
      <w:pPr>
        <w:spacing w:before="40" w:after="120"/>
        <w:jc w:val="left"/>
      </w:pPr>
      <w:r>
        <w:rPr>
          <w:rFonts w:ascii="Times New Roman" w:hAnsi="Times New Roman"/>
          <w:b w:val="0"/>
          <w:i/>
          <w:color w:val="666666"/>
          <w:sz w:val="15"/>
        </w:rPr>
        <w:t>Source: Micron Q1 FY2026 Earnings Call (December 17, 2025).</w:t>
      </w:r>
    </w:p>
    <w:p>
      <w:pPr>
        <w:spacing w:before="0" w:after="120"/>
        <w:jc w:val="left"/>
      </w:pPr>
      <w:r>
        <w:rPr>
          <w:rFonts w:ascii="Times New Roman" w:hAnsi="Times New Roman"/>
          <w:b w:val="0"/>
          <w:i w:val="0"/>
          <w:sz w:val="20"/>
        </w:rPr>
        <w:t>The Q2 FY2026 guidance implies ~37% sequential revenue acceleration, ~11pp sequential gross margin expansion to ~68%, and ~76% EPS growth — strikingly bullish numbers driven by HBM volume ramp, continued DRAM pricing strength, and operating leverage. At the guidance midpoint, Q2 FY2026 would represent yet another Micron revenue record.</w:t>
      </w:r>
    </w:p>
    <w:p>
      <w:pPr>
        <w:jc w:val="center"/>
      </w:pPr>
      <w:r>
        <w:drawing>
          <wp:inline xmlns:a="http://schemas.openxmlformats.org/drawingml/2006/main" xmlns:pic="http://schemas.openxmlformats.org/drawingml/2006/picture">
            <wp:extent cx="5943600" cy="3450404"/>
            <wp:docPr id="8" name="Picture 8"/>
            <wp:cNvGraphicFramePr>
              <a:graphicFrameLocks noChangeAspect="1"/>
            </wp:cNvGraphicFramePr>
            <a:graphic>
              <a:graphicData uri="http://schemas.openxmlformats.org/drawingml/2006/picture">
                <pic:pic>
                  <pic:nvPicPr>
                    <pic:cNvPr id="0" name="mu_chart9_guidance.png"/>
                    <pic:cNvPicPr/>
                  </pic:nvPicPr>
                  <pic:blipFill>
                    <a:blip r:embed="rId16"/>
                    <a:stretch>
                      <a:fillRect/>
                    </a:stretch>
                  </pic:blipFill>
                  <pic:spPr>
                    <a:xfrm>
                      <a:off x="0" y="0"/>
                      <a:ext cx="5943600" cy="3450404"/>
                    </a:xfrm>
                    <a:prstGeom prst="rect"/>
                  </pic:spPr>
                </pic:pic>
              </a:graphicData>
            </a:graphic>
          </wp:inline>
        </w:drawing>
      </w:r>
    </w:p>
    <w:p>
      <w:pPr>
        <w:spacing w:before="0" w:after="120"/>
        <w:jc w:val="center"/>
      </w:pPr>
      <w:r>
        <w:rPr>
          <w:rFonts w:ascii="Times New Roman" w:hAnsi="Times New Roman"/>
          <w:b w:val="0"/>
          <w:i/>
          <w:color w:val="666666"/>
          <w:sz w:val="16"/>
        </w:rPr>
        <w:t>Exhibit 8: Q2 FY2026 Guidance vs. Q1 FY2026 Actuals</w:t>
        <w:br/>
        <w:t>Source: Micron Q1 FY2026 Earnings Call (December 17, 2025)</w:t>
      </w:r>
    </w:p>
    <w:p>
      <w:r>
        <w:br w:type="page"/>
      </w:r>
    </w:p>
    <w:p>
      <w:pPr>
        <w:spacing w:before="200" w:after="60"/>
        <w:jc w:val="left"/>
        <w:pBdr>
          <w:bottom w:val="single" w:sz="6" w:space="4" w:color="1A6B8A"/>
        </w:pBdr>
      </w:pPr>
      <w:r>
        <w:rPr>
          <w:rFonts w:ascii="Times New Roman" w:hAnsi="Times New Roman"/>
          <w:b/>
          <w:i w:val="0"/>
          <w:color w:val="1A6B8A"/>
          <w:sz w:val="22"/>
        </w:rPr>
        <w:t>INVESTMENT THESIS UPDATE</w:t>
      </w:r>
    </w:p>
    <w:p>
      <w:pPr>
        <w:spacing w:before="120" w:after="40"/>
        <w:jc w:val="left"/>
      </w:pPr>
      <w:r>
        <w:rPr>
          <w:rFonts w:ascii="Times New Roman" w:hAnsi="Times New Roman"/>
          <w:b/>
          <w:i w:val="0"/>
          <w:color w:val="333333"/>
          <w:sz w:val="21"/>
        </w:rPr>
        <w:t>What Changed This Quarter</w:t>
      </w:r>
    </w:p>
    <w:p>
      <w:pPr>
        <w:spacing w:before="0" w:after="80"/>
        <w:jc w:val="left"/>
      </w:pPr>
      <w:r>
        <w:rPr>
          <w:rFonts w:ascii="Times New Roman" w:hAnsi="Times New Roman"/>
          <w:b w:val="0"/>
          <w:i w:val="0"/>
          <w:sz w:val="20"/>
        </w:rPr>
        <w:t>Q1 FY2026 exceeded even the most bullish Street expectations. Three developments stand out as thesis-defining:</w:t>
      </w:r>
    </w:p>
    <w:p>
      <w:pPr>
        <w:pStyle w:val="ListBullet"/>
        <w:spacing w:after="80"/>
      </w:pPr>
      <w:r>
        <w:rPr>
          <w:rFonts w:ascii="Times New Roman" w:hAnsi="Times New Roman"/>
          <w:b/>
          <w:i w:val="0"/>
          <w:color w:val="1A6B8A"/>
          <w:sz w:val="20"/>
        </w:rPr>
        <w:t xml:space="preserve">HBM Sold Out for Full Year: </w:t>
      </w:r>
      <w:r>
        <w:rPr>
          <w:rFonts w:ascii="Times New Roman" w:hAnsi="Times New Roman"/>
          <w:b w:val="0"/>
          <w:i w:val="0"/>
          <w:sz w:val="20"/>
        </w:rPr>
        <w:t>Completing price and volume agreements for 100% of CY2026 HBM supply — including HBM4 — eliminates near-term demand risk and provides extraordinary visibility into fiscal H2 2026 (Q3-Q4 FY2026). This is unprecedented in Micron's history and signals that AI infrastructure investment by hyperscalers (Microsoft, Google, Amazon, Meta) is durable and accelerating.</w:t>
      </w:r>
    </w:p>
    <w:p>
      <w:pPr>
        <w:pStyle w:val="ListBullet"/>
        <w:spacing w:after="80"/>
      </w:pPr>
      <w:r>
        <w:rPr>
          <w:rFonts w:ascii="Times New Roman" w:hAnsi="Times New Roman"/>
          <w:b/>
          <w:i w:val="0"/>
          <w:color w:val="1A6B8A"/>
          <w:sz w:val="20"/>
        </w:rPr>
        <w:t xml:space="preserve">Gross Margin Step-Change: </w:t>
      </w:r>
      <w:r>
        <w:rPr>
          <w:rFonts w:ascii="Times New Roman" w:hAnsi="Times New Roman"/>
          <w:b w:val="0"/>
          <w:i w:val="0"/>
          <w:sz w:val="20"/>
        </w:rPr>
        <w:t>Sustained 56.8% gross margin — and guidance for ~68% in Q2 — suggests that HBM is now a structural margin driver, not a one-off. We revise our FY2026 gross margin estimate to 62% (from 50%) and our FY2027 estimate to 65% (from 55%).</w:t>
      </w:r>
    </w:p>
    <w:p>
      <w:pPr>
        <w:pStyle w:val="ListBullet"/>
        <w:spacing w:after="80"/>
      </w:pPr>
      <w:r>
        <w:rPr>
          <w:rFonts w:ascii="Times New Roman" w:hAnsi="Times New Roman"/>
          <w:b/>
          <w:i w:val="0"/>
          <w:color w:val="1A6B8A"/>
          <w:sz w:val="20"/>
        </w:rPr>
        <w:t xml:space="preserve">TAM Expansion: </w:t>
      </w:r>
      <w:r>
        <w:rPr>
          <w:rFonts w:ascii="Times New Roman" w:hAnsi="Times New Roman"/>
          <w:b w:val="0"/>
          <w:i w:val="0"/>
          <w:sz w:val="20"/>
        </w:rPr>
        <w:t>Management's HBM TAM forecast of $100 billion by 2028 (from ~$35 billion in 2025), representing ~40% CAGR, suggests an addressable market roughly 3x current levels. Micron's improving competitive position in HBM alongside Samsung and SK Hynix means a share of this $100B TAM could meaningfully exceed prior assumptions.</w:t>
      </w:r>
    </w:p>
    <w:p>
      <w:pPr>
        <w:jc w:val="center"/>
      </w:pPr>
      <w:r>
        <w:drawing>
          <wp:inline xmlns:a="http://schemas.openxmlformats.org/drawingml/2006/main" xmlns:pic="http://schemas.openxmlformats.org/drawingml/2006/picture">
            <wp:extent cx="5943600" cy="3450404"/>
            <wp:docPr id="9" name="Picture 9"/>
            <wp:cNvGraphicFramePr>
              <a:graphicFrameLocks noChangeAspect="1"/>
            </wp:cNvGraphicFramePr>
            <a:graphic>
              <a:graphicData uri="http://schemas.openxmlformats.org/drawingml/2006/picture">
                <pic:pic>
                  <pic:nvPicPr>
                    <pic:cNvPr id="0" name="mu_chart8_hbm_tam.png"/>
                    <pic:cNvPicPr/>
                  </pic:nvPicPr>
                  <pic:blipFill>
                    <a:blip r:embed="rId17"/>
                    <a:stretch>
                      <a:fillRect/>
                    </a:stretch>
                  </pic:blipFill>
                  <pic:spPr>
                    <a:xfrm>
                      <a:off x="0" y="0"/>
                      <a:ext cx="5943600" cy="3450404"/>
                    </a:xfrm>
                    <a:prstGeom prst="rect"/>
                  </pic:spPr>
                </pic:pic>
              </a:graphicData>
            </a:graphic>
          </wp:inline>
        </w:drawing>
      </w:r>
    </w:p>
    <w:p>
      <w:pPr>
        <w:spacing w:before="0" w:after="120"/>
        <w:jc w:val="center"/>
      </w:pPr>
      <w:r>
        <w:rPr>
          <w:rFonts w:ascii="Times New Roman" w:hAnsi="Times New Roman"/>
          <w:b w:val="0"/>
          <w:i/>
          <w:color w:val="666666"/>
          <w:sz w:val="16"/>
        </w:rPr>
        <w:t>Exhibit 9: Global HBM TAM Forecast ($B) — ~40% CAGR 2025–2028</w:t>
        <w:br/>
        <w:t>Source: Micron management commentary, Q1 FY2026 Earnings Call (December 17, 2025)</w:t>
      </w:r>
    </w:p>
    <w:p>
      <w:pPr>
        <w:spacing w:before="120" w:after="40"/>
        <w:jc w:val="left"/>
      </w:pPr>
      <w:r>
        <w:rPr>
          <w:rFonts w:ascii="Times New Roman" w:hAnsi="Times New Roman"/>
          <w:b/>
          <w:i w:val="0"/>
          <w:color w:val="333333"/>
          <w:sz w:val="21"/>
        </w:rPr>
        <w:t>Key Risks</w:t>
      </w:r>
    </w:p>
    <w:p>
      <w:pPr>
        <w:pStyle w:val="ListBullet"/>
        <w:spacing w:after="60"/>
      </w:pPr>
      <w:r>
        <w:rPr>
          <w:rFonts w:ascii="Times New Roman" w:hAnsi="Times New Roman"/>
          <w:b/>
          <w:i w:val="0"/>
          <w:color w:val="C0392B"/>
          <w:sz w:val="20"/>
        </w:rPr>
        <w:t xml:space="preserve">AI CapEx Cycle Risk: </w:t>
      </w:r>
      <w:r>
        <w:rPr>
          <w:rFonts w:ascii="Times New Roman" w:hAnsi="Times New Roman"/>
          <w:b w:val="0"/>
          <w:i w:val="0"/>
          <w:sz w:val="20"/>
        </w:rPr>
        <w:t>A meaningful reduction in hyperscaler AI infrastructure spending could rapidly reverse HBM pricing and volume commitments. The current $20B+ annual CapEx plans by major cloud providers are dependent on continued AI workload growth.</w:t>
      </w:r>
    </w:p>
    <w:p>
      <w:pPr>
        <w:pStyle w:val="ListBullet"/>
        <w:spacing w:after="60"/>
      </w:pPr>
      <w:r>
        <w:rPr>
          <w:rFonts w:ascii="Times New Roman" w:hAnsi="Times New Roman"/>
          <w:b/>
          <w:i w:val="0"/>
          <w:color w:val="C0392B"/>
          <w:sz w:val="20"/>
        </w:rPr>
        <w:t xml:space="preserve">Competitive Intensity: </w:t>
      </w:r>
      <w:r>
        <w:rPr>
          <w:rFonts w:ascii="Times New Roman" w:hAnsi="Times New Roman"/>
          <w:b w:val="0"/>
          <w:i w:val="0"/>
          <w:sz w:val="20"/>
        </w:rPr>
        <w:t>SK Hynix remains the HBM market leader with ~50%+ share. Samsung continues to invest heavily in HBM and DRAM capacity. Any Micron HBM yield or qualification setbacks could shift customer allocations.</w:t>
      </w:r>
    </w:p>
    <w:p>
      <w:pPr>
        <w:pStyle w:val="ListBullet"/>
        <w:spacing w:after="60"/>
      </w:pPr>
      <w:r>
        <w:rPr>
          <w:rFonts w:ascii="Times New Roman" w:hAnsi="Times New Roman"/>
          <w:b/>
          <w:i w:val="0"/>
          <w:color w:val="C0392B"/>
          <w:sz w:val="20"/>
        </w:rPr>
        <w:t xml:space="preserve">NAND Oversupply: </w:t>
      </w:r>
      <w:r>
        <w:rPr>
          <w:rFonts w:ascii="Times New Roman" w:hAnsi="Times New Roman"/>
          <w:b w:val="0"/>
          <w:i w:val="0"/>
          <w:sz w:val="20"/>
        </w:rPr>
        <w:t>NAND market dynamics are less constructive than DRAM. Consumer NAND prices remain under pressure, and Chinese NAND players (YMTC) continue to expand capacity, which could weigh on Micron's NAND segment margins.</w:t>
      </w:r>
    </w:p>
    <w:p>
      <w:pPr>
        <w:pStyle w:val="ListBullet"/>
        <w:spacing w:after="60"/>
      </w:pPr>
      <w:r>
        <w:rPr>
          <w:rFonts w:ascii="Times New Roman" w:hAnsi="Times New Roman"/>
          <w:b/>
          <w:i w:val="0"/>
          <w:color w:val="C0392B"/>
          <w:sz w:val="20"/>
        </w:rPr>
        <w:t xml:space="preserve">Geopolitical/Export Controls: </w:t>
      </w:r>
      <w:r>
        <w:rPr>
          <w:rFonts w:ascii="Times New Roman" w:hAnsi="Times New Roman"/>
          <w:b w:val="0"/>
          <w:i w:val="0"/>
          <w:sz w:val="20"/>
        </w:rPr>
        <w:t>Escalating U.S.-China technology restrictions pose risks to Micron's ability to sell into China (historically ~10-15% of revenue) and could affect sourcing of equipment for fab expansions.</w:t>
      </w:r>
    </w:p>
    <w:p>
      <w:pPr>
        <w:pStyle w:val="ListBullet"/>
        <w:spacing w:after="60"/>
      </w:pPr>
      <w:r>
        <w:rPr>
          <w:rFonts w:ascii="Times New Roman" w:hAnsi="Times New Roman"/>
          <w:b/>
          <w:i w:val="0"/>
          <w:color w:val="C0392B"/>
          <w:sz w:val="20"/>
        </w:rPr>
        <w:t xml:space="preserve">Macro Cyclicality: </w:t>
      </w:r>
      <w:r>
        <w:rPr>
          <w:rFonts w:ascii="Times New Roman" w:hAnsi="Times New Roman"/>
          <w:b w:val="0"/>
          <w:i w:val="0"/>
          <w:sz w:val="20"/>
        </w:rPr>
        <w:t>Semiconductor memory markets are inherently cyclical. A downturn in PC, smartphone, or data center spending could rapidly impact DRAM pricing, as seen in the FY2023 downcycle.</w:t>
      </w:r>
    </w:p>
    <w:p>
      <w:pPr>
        <w:spacing w:before="120" w:after="40"/>
        <w:jc w:val="left"/>
      </w:pPr>
      <w:r>
        <w:rPr>
          <w:rFonts w:ascii="Times New Roman" w:hAnsi="Times New Roman"/>
          <w:b/>
          <w:i w:val="0"/>
          <w:color w:val="333333"/>
          <w:sz w:val="21"/>
        </w:rPr>
        <w:t>Key Catalysts</w:t>
      </w:r>
    </w:p>
    <w:p>
      <w:pPr>
        <w:pStyle w:val="ListBullet"/>
        <w:spacing w:after="60"/>
      </w:pPr>
      <w:r>
        <w:rPr>
          <w:rFonts w:ascii="Times New Roman" w:hAnsi="Times New Roman"/>
          <w:b w:val="0"/>
          <w:i w:val="0"/>
          <w:sz w:val="20"/>
        </w:rPr>
        <w:t>Q2 FY2026 earnings (expected March 2026): Execution vs. exceptional guidance</w:t>
      </w:r>
    </w:p>
    <w:p>
      <w:pPr>
        <w:pStyle w:val="ListBullet"/>
        <w:spacing w:after="60"/>
      </w:pPr>
      <w:r>
        <w:rPr>
          <w:rFonts w:ascii="Times New Roman" w:hAnsi="Times New Roman"/>
          <w:b w:val="0"/>
          <w:i w:val="0"/>
          <w:sz w:val="20"/>
        </w:rPr>
        <w:t>HBM4 ramp validation: Qualification at major hyperscalers (Google TPU, NVIDIA Blackwell)</w:t>
      </w:r>
    </w:p>
    <w:p>
      <w:pPr>
        <w:pStyle w:val="ListBullet"/>
        <w:spacing w:after="60"/>
      </w:pPr>
      <w:r>
        <w:rPr>
          <w:rFonts w:ascii="Times New Roman" w:hAnsi="Times New Roman"/>
          <w:b w:val="0"/>
          <w:i w:val="0"/>
          <w:sz w:val="20"/>
        </w:rPr>
        <w:t>1-gamma node yield improvement: Cost reduction unlocking further margin upside</w:t>
      </w:r>
    </w:p>
    <w:p>
      <w:pPr>
        <w:pStyle w:val="ListBullet"/>
        <w:spacing w:after="60"/>
      </w:pPr>
      <w:r>
        <w:rPr>
          <w:rFonts w:ascii="Times New Roman" w:hAnsi="Times New Roman"/>
          <w:b w:val="0"/>
          <w:i w:val="0"/>
          <w:sz w:val="20"/>
        </w:rPr>
        <w:t>China market resolution: Any relaxation of export controls could be a positive surprise</w:t>
      </w:r>
    </w:p>
    <w:p>
      <w:pPr>
        <w:pStyle w:val="ListBullet"/>
        <w:spacing w:after="60"/>
      </w:pPr>
      <w:r>
        <w:rPr>
          <w:rFonts w:ascii="Times New Roman" w:hAnsi="Times New Roman"/>
          <w:b w:val="0"/>
          <w:i w:val="0"/>
          <w:sz w:val="20"/>
        </w:rPr>
        <w:t>Share buyback acceleration: Strong FCF may enable increased capital returns</w:t>
      </w:r>
    </w:p>
    <w:p>
      <w:r>
        <w:br w:type="page"/>
      </w:r>
    </w:p>
    <w:p>
      <w:pPr>
        <w:spacing w:before="200" w:after="60"/>
        <w:jc w:val="left"/>
        <w:pBdr>
          <w:bottom w:val="single" w:sz="6" w:space="4" w:color="1A6B8A"/>
        </w:pBdr>
      </w:pPr>
      <w:r>
        <w:rPr>
          <w:rFonts w:ascii="Times New Roman" w:hAnsi="Times New Roman"/>
          <w:b/>
          <w:i w:val="0"/>
          <w:color w:val="1A6B8A"/>
          <w:sz w:val="22"/>
        </w:rPr>
        <w:t>VALUATION &amp; UPDATED ESTIMATES</w:t>
      </w:r>
    </w:p>
    <w:p>
      <w:pPr>
        <w:spacing w:before="120" w:after="40"/>
        <w:jc w:val="left"/>
      </w:pPr>
      <w:r>
        <w:rPr>
          <w:rFonts w:ascii="Times New Roman" w:hAnsi="Times New Roman"/>
          <w:b/>
          <w:i w:val="0"/>
          <w:color w:val="333333"/>
          <w:sz w:val="21"/>
        </w:rPr>
        <w:t>Updated Financial Estimates</w:t>
      </w:r>
    </w:p>
    <w:p>
      <w:pPr>
        <w:spacing w:before="0" w:after="120"/>
        <w:jc w:val="left"/>
      </w:pPr>
      <w:r>
        <w:rPr>
          <w:rFonts w:ascii="Times New Roman" w:hAnsi="Times New Roman"/>
          <w:b w:val="0"/>
          <w:i w:val="0"/>
          <w:sz w:val="20"/>
        </w:rPr>
        <w:t>Following the Q1 FY2026 beat and exceptional Q2 guidance, we materially revise our full-year FY2026 estimates upward. Q2 guidance alone ($18.7B revenue, $8.42 EPS) implies the prior full-year consensus was significantly underestimated.</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304"/>
            <w:shd w:val="clear" w:color="auto" w:fill="1A6B8A"/>
          </w:tcPr>
          <w:p>
            <w:pPr>
              <w:jc w:val="center"/>
            </w:pPr>
            <w:r>
              <w:rPr>
                <w:rFonts w:ascii="Times New Roman" w:hAnsi="Times New Roman"/>
                <w:b/>
                <w:i w:val="0"/>
                <w:color w:val="FFFFFF"/>
                <w:sz w:val="18"/>
              </w:rPr>
              <w:t>Metric</w:t>
            </w:r>
          </w:p>
        </w:tc>
        <w:tc>
          <w:tcPr>
            <w:tcW w:type="dxa" w:w="1440"/>
            <w:shd w:val="clear" w:color="auto" w:fill="1A6B8A"/>
          </w:tcPr>
          <w:p>
            <w:pPr>
              <w:jc w:val="center"/>
            </w:pPr>
            <w:r>
              <w:rPr>
                <w:rFonts w:ascii="Times New Roman" w:hAnsi="Times New Roman"/>
                <w:b/>
                <w:i w:val="0"/>
                <w:color w:val="FFFFFF"/>
                <w:sz w:val="18"/>
              </w:rPr>
              <w:t>Q1 FY26</w:t>
              <w:br/>
              <w:t>Actual</w:t>
            </w:r>
          </w:p>
        </w:tc>
        <w:tc>
          <w:tcPr>
            <w:tcW w:type="dxa" w:w="1656"/>
            <w:shd w:val="clear" w:color="auto" w:fill="1A6B8A"/>
          </w:tcPr>
          <w:p>
            <w:pPr>
              <w:jc w:val="center"/>
            </w:pPr>
            <w:r>
              <w:rPr>
                <w:rFonts w:ascii="Times New Roman" w:hAnsi="Times New Roman"/>
                <w:b/>
                <w:i w:val="0"/>
                <w:color w:val="FFFFFF"/>
                <w:sz w:val="18"/>
              </w:rPr>
              <w:t>Q2 FY26E</w:t>
              <w:br/>
              <w:t>(Guidance)</w:t>
            </w:r>
          </w:p>
        </w:tc>
        <w:tc>
          <w:tcPr>
            <w:tcW w:type="dxa" w:w="1656"/>
            <w:shd w:val="clear" w:color="auto" w:fill="1A6B8A"/>
          </w:tcPr>
          <w:p>
            <w:pPr>
              <w:jc w:val="center"/>
            </w:pPr>
            <w:r>
              <w:rPr>
                <w:rFonts w:ascii="Times New Roman" w:hAnsi="Times New Roman"/>
                <w:b/>
                <w:i w:val="0"/>
                <w:color w:val="FFFFFF"/>
                <w:sz w:val="18"/>
              </w:rPr>
              <w:t>FY2026E</w:t>
              <w:br/>
              <w:t>(Full Year)</w:t>
            </w:r>
          </w:p>
        </w:tc>
        <w:tc>
          <w:tcPr>
            <w:tcW w:type="dxa" w:w="1656"/>
            <w:shd w:val="clear" w:color="auto" w:fill="1A6B8A"/>
          </w:tcPr>
          <w:p>
            <w:pPr>
              <w:jc w:val="center"/>
            </w:pPr>
            <w:r>
              <w:rPr>
                <w:rFonts w:ascii="Times New Roman" w:hAnsi="Times New Roman"/>
                <w:b/>
                <w:i w:val="0"/>
                <w:color w:val="FFFFFF"/>
                <w:sz w:val="18"/>
              </w:rPr>
              <w:t>FY2026E</w:t>
              <w:br/>
              <w:t>(Prior Est.)</w:t>
            </w:r>
          </w:p>
        </w:tc>
        <w:tc>
          <w:tcPr>
            <w:tcW w:type="dxa" w:w="1440"/>
            <w:shd w:val="clear" w:color="auto" w:fill="1A6B8A"/>
          </w:tcPr>
          <w:p>
            <w:pPr>
              <w:jc w:val="center"/>
            </w:pPr>
            <w:r>
              <w:rPr>
                <w:rFonts w:ascii="Times New Roman" w:hAnsi="Times New Roman"/>
                <w:b/>
                <w:i w:val="0"/>
                <w:color w:val="FFFFFF"/>
                <w:sz w:val="18"/>
              </w:rPr>
              <w:t>FY2027E</w:t>
            </w:r>
          </w:p>
        </w:tc>
      </w:tr>
      <w:tr>
        <w:tc>
          <w:tcPr>
            <w:tcW w:type="dxa" w:w="2304"/>
            <w:shd w:val="clear" w:color="auto" w:fill="FFFFFF"/>
          </w:tcPr>
          <w:p>
            <w:pPr>
              <w:jc w:val="left"/>
            </w:pPr>
            <w:r>
              <w:rPr>
                <w:rFonts w:ascii="Times New Roman" w:hAnsi="Times New Roman"/>
                <w:b/>
                <w:i w:val="0"/>
                <w:sz w:val="18"/>
              </w:rPr>
              <w:t>Revenue ($B)</w:t>
            </w:r>
          </w:p>
        </w:tc>
        <w:tc>
          <w:tcPr>
            <w:tcW w:type="dxa" w:w="1440"/>
            <w:shd w:val="clear" w:color="auto" w:fill="FFFFFF"/>
          </w:tcPr>
          <w:p>
            <w:pPr>
              <w:jc w:val="center"/>
            </w:pPr>
            <w:r>
              <w:rPr>
                <w:rFonts w:ascii="Times New Roman" w:hAnsi="Times New Roman"/>
                <w:b w:val="0"/>
                <w:i w:val="0"/>
                <w:sz w:val="18"/>
              </w:rPr>
              <w:t>$13.64</w:t>
            </w:r>
          </w:p>
        </w:tc>
        <w:tc>
          <w:tcPr>
            <w:tcW w:type="dxa" w:w="1656"/>
            <w:shd w:val="clear" w:color="auto" w:fill="FFFFFF"/>
          </w:tcPr>
          <w:p>
            <w:pPr>
              <w:jc w:val="center"/>
            </w:pPr>
            <w:r>
              <w:rPr>
                <w:rFonts w:ascii="Times New Roman" w:hAnsi="Times New Roman"/>
                <w:b w:val="0"/>
                <w:i w:val="0"/>
                <w:sz w:val="18"/>
              </w:rPr>
              <w:t>$18.70</w:t>
            </w:r>
          </w:p>
        </w:tc>
        <w:tc>
          <w:tcPr>
            <w:tcW w:type="dxa" w:w="1656"/>
            <w:shd w:val="clear" w:color="auto" w:fill="FFFFFF"/>
          </w:tcPr>
          <w:p>
            <w:pPr>
              <w:jc w:val="center"/>
            </w:pPr>
            <w:r>
              <w:rPr>
                <w:rFonts w:ascii="Times New Roman" w:hAnsi="Times New Roman"/>
                <w:b w:val="0"/>
                <w:i w:val="0"/>
                <w:sz w:val="18"/>
              </w:rPr>
              <w:t>~$68–75B</w:t>
            </w:r>
          </w:p>
        </w:tc>
        <w:tc>
          <w:tcPr>
            <w:tcW w:type="dxa" w:w="1656"/>
            <w:shd w:val="clear" w:color="auto" w:fill="FFFFFF"/>
          </w:tcPr>
          <w:p>
            <w:pPr>
              <w:jc w:val="center"/>
            </w:pPr>
            <w:r>
              <w:rPr>
                <w:rFonts w:ascii="Times New Roman" w:hAnsi="Times New Roman"/>
                <w:b w:val="0"/>
                <w:i w:val="0"/>
                <w:sz w:val="18"/>
              </w:rPr>
              <w:t>~$48–52B</w:t>
            </w:r>
          </w:p>
        </w:tc>
        <w:tc>
          <w:tcPr>
            <w:tcW w:type="dxa" w:w="1440"/>
            <w:shd w:val="clear" w:color="auto" w:fill="FFFFFF"/>
          </w:tcPr>
          <w:p>
            <w:pPr>
              <w:jc w:val="center"/>
            </w:pPr>
            <w:r>
              <w:rPr>
                <w:rFonts w:ascii="Times New Roman" w:hAnsi="Times New Roman"/>
                <w:b w:val="0"/>
                <w:i w:val="0"/>
                <w:sz w:val="18"/>
              </w:rPr>
              <w:t>~$85–90B</w:t>
            </w:r>
          </w:p>
        </w:tc>
      </w:tr>
      <w:tr>
        <w:tc>
          <w:tcPr>
            <w:tcW w:type="dxa" w:w="2304"/>
            <w:shd w:val="clear" w:color="auto" w:fill="EAF2F8"/>
          </w:tcPr>
          <w:p>
            <w:pPr>
              <w:jc w:val="left"/>
            </w:pPr>
            <w:r>
              <w:rPr>
                <w:rFonts w:ascii="Times New Roman" w:hAnsi="Times New Roman"/>
                <w:b w:val="0"/>
                <w:i w:val="0"/>
                <w:sz w:val="18"/>
              </w:rPr>
              <w:t>Gross Margin (%)</w:t>
            </w:r>
          </w:p>
        </w:tc>
        <w:tc>
          <w:tcPr>
            <w:tcW w:type="dxa" w:w="1440"/>
            <w:shd w:val="clear" w:color="auto" w:fill="EAF2F8"/>
          </w:tcPr>
          <w:p>
            <w:pPr>
              <w:jc w:val="center"/>
            </w:pPr>
            <w:r>
              <w:rPr>
                <w:rFonts w:ascii="Times New Roman" w:hAnsi="Times New Roman"/>
                <w:b w:val="0"/>
                <w:i w:val="0"/>
                <w:sz w:val="18"/>
              </w:rPr>
              <w:t>56.8%</w:t>
            </w:r>
          </w:p>
        </w:tc>
        <w:tc>
          <w:tcPr>
            <w:tcW w:type="dxa" w:w="1656"/>
            <w:shd w:val="clear" w:color="auto" w:fill="EAF2F8"/>
          </w:tcPr>
          <w:p>
            <w:pPr>
              <w:jc w:val="center"/>
            </w:pPr>
            <w:r>
              <w:rPr>
                <w:rFonts w:ascii="Times New Roman" w:hAnsi="Times New Roman"/>
                <w:b w:val="0"/>
                <w:i w:val="0"/>
                <w:sz w:val="18"/>
              </w:rPr>
              <w:t>~68%</w:t>
            </w:r>
          </w:p>
        </w:tc>
        <w:tc>
          <w:tcPr>
            <w:tcW w:type="dxa" w:w="1656"/>
            <w:shd w:val="clear" w:color="auto" w:fill="EAF2F8"/>
          </w:tcPr>
          <w:p>
            <w:pPr>
              <w:jc w:val="center"/>
            </w:pPr>
            <w:r>
              <w:rPr>
                <w:rFonts w:ascii="Times New Roman" w:hAnsi="Times New Roman"/>
                <w:b w:val="0"/>
                <w:i w:val="0"/>
                <w:sz w:val="18"/>
              </w:rPr>
              <w:t>~62%</w:t>
            </w:r>
          </w:p>
        </w:tc>
        <w:tc>
          <w:tcPr>
            <w:tcW w:type="dxa" w:w="1656"/>
            <w:shd w:val="clear" w:color="auto" w:fill="EAF2F8"/>
          </w:tcPr>
          <w:p>
            <w:pPr>
              <w:jc w:val="center"/>
            </w:pPr>
            <w:r>
              <w:rPr>
                <w:rFonts w:ascii="Times New Roman" w:hAnsi="Times New Roman"/>
                <w:b w:val="0"/>
                <w:i w:val="0"/>
                <w:sz w:val="18"/>
              </w:rPr>
              <w:t>~50%</w:t>
            </w:r>
          </w:p>
        </w:tc>
        <w:tc>
          <w:tcPr>
            <w:tcW w:type="dxa" w:w="1440"/>
            <w:shd w:val="clear" w:color="auto" w:fill="EAF2F8"/>
          </w:tcPr>
          <w:p>
            <w:pPr>
              <w:jc w:val="center"/>
            </w:pPr>
            <w:r>
              <w:rPr>
                <w:rFonts w:ascii="Times New Roman" w:hAnsi="Times New Roman"/>
                <w:b w:val="0"/>
                <w:i w:val="0"/>
                <w:sz w:val="18"/>
              </w:rPr>
              <w:t>~65%</w:t>
            </w:r>
          </w:p>
        </w:tc>
      </w:tr>
      <w:tr>
        <w:tc>
          <w:tcPr>
            <w:tcW w:type="dxa" w:w="2304"/>
            <w:shd w:val="clear" w:color="auto" w:fill="FFFFFF"/>
          </w:tcPr>
          <w:p>
            <w:pPr>
              <w:jc w:val="left"/>
            </w:pPr>
            <w:r>
              <w:rPr>
                <w:rFonts w:ascii="Times New Roman" w:hAnsi="Times New Roman"/>
                <w:b w:val="0"/>
                <w:i w:val="0"/>
                <w:sz w:val="18"/>
              </w:rPr>
              <w:t>Non-GAAP EPS ($)</w:t>
            </w:r>
          </w:p>
        </w:tc>
        <w:tc>
          <w:tcPr>
            <w:tcW w:type="dxa" w:w="1440"/>
            <w:shd w:val="clear" w:color="auto" w:fill="FFFFFF"/>
          </w:tcPr>
          <w:p>
            <w:pPr>
              <w:jc w:val="center"/>
            </w:pPr>
            <w:r>
              <w:rPr>
                <w:rFonts w:ascii="Times New Roman" w:hAnsi="Times New Roman"/>
                <w:b w:val="0"/>
                <w:i w:val="0"/>
                <w:sz w:val="18"/>
              </w:rPr>
              <w:t>$4.78</w:t>
            </w:r>
          </w:p>
        </w:tc>
        <w:tc>
          <w:tcPr>
            <w:tcW w:type="dxa" w:w="1656"/>
            <w:shd w:val="clear" w:color="auto" w:fill="FFFFFF"/>
          </w:tcPr>
          <w:p>
            <w:pPr>
              <w:jc w:val="center"/>
            </w:pPr>
            <w:r>
              <w:rPr>
                <w:rFonts w:ascii="Times New Roman" w:hAnsi="Times New Roman"/>
                <w:b w:val="0"/>
                <w:i w:val="0"/>
                <w:sz w:val="18"/>
              </w:rPr>
              <w:t>$8.42</w:t>
            </w:r>
          </w:p>
        </w:tc>
        <w:tc>
          <w:tcPr>
            <w:tcW w:type="dxa" w:w="1656"/>
            <w:shd w:val="clear" w:color="auto" w:fill="FFFFFF"/>
          </w:tcPr>
          <w:p>
            <w:pPr>
              <w:jc w:val="center"/>
            </w:pPr>
            <w:r>
              <w:rPr>
                <w:rFonts w:ascii="Times New Roman" w:hAnsi="Times New Roman"/>
                <w:b w:val="0"/>
                <w:i w:val="0"/>
                <w:sz w:val="18"/>
              </w:rPr>
              <w:t>~$28–32</w:t>
            </w:r>
          </w:p>
        </w:tc>
        <w:tc>
          <w:tcPr>
            <w:tcW w:type="dxa" w:w="1656"/>
            <w:shd w:val="clear" w:color="auto" w:fill="FFFFFF"/>
          </w:tcPr>
          <w:p>
            <w:pPr>
              <w:jc w:val="center"/>
            </w:pPr>
            <w:r>
              <w:rPr>
                <w:rFonts w:ascii="Times New Roman" w:hAnsi="Times New Roman"/>
                <w:b w:val="0"/>
                <w:i w:val="0"/>
                <w:sz w:val="18"/>
              </w:rPr>
              <w:t>~$18–22</w:t>
            </w:r>
          </w:p>
        </w:tc>
        <w:tc>
          <w:tcPr>
            <w:tcW w:type="dxa" w:w="1440"/>
            <w:shd w:val="clear" w:color="auto" w:fill="FFFFFF"/>
          </w:tcPr>
          <w:p>
            <w:pPr>
              <w:jc w:val="center"/>
            </w:pPr>
            <w:r>
              <w:rPr>
                <w:rFonts w:ascii="Times New Roman" w:hAnsi="Times New Roman"/>
                <w:b w:val="0"/>
                <w:i w:val="0"/>
                <w:sz w:val="18"/>
              </w:rPr>
              <w:t>~$40–45</w:t>
            </w:r>
          </w:p>
        </w:tc>
      </w:tr>
      <w:tr>
        <w:tc>
          <w:tcPr>
            <w:tcW w:type="dxa" w:w="2304"/>
            <w:shd w:val="clear" w:color="auto" w:fill="EAF2F8"/>
          </w:tcPr>
          <w:p>
            <w:pPr>
              <w:jc w:val="left"/>
            </w:pPr>
            <w:r>
              <w:rPr>
                <w:rFonts w:ascii="Times New Roman" w:hAnsi="Times New Roman"/>
                <w:b w:val="0"/>
                <w:i w:val="0"/>
                <w:sz w:val="18"/>
              </w:rPr>
              <w:t>CapEx ($B)</w:t>
            </w:r>
          </w:p>
        </w:tc>
        <w:tc>
          <w:tcPr>
            <w:tcW w:type="dxa" w:w="1440"/>
            <w:shd w:val="clear" w:color="auto" w:fill="EAF2F8"/>
          </w:tcPr>
          <w:p>
            <w:pPr>
              <w:jc w:val="center"/>
            </w:pPr>
            <w:r>
              <w:rPr>
                <w:rFonts w:ascii="Times New Roman" w:hAnsi="Times New Roman"/>
                <w:b w:val="0"/>
                <w:i w:val="0"/>
                <w:sz w:val="18"/>
              </w:rPr>
              <w:t>$4.50</w:t>
            </w:r>
          </w:p>
        </w:tc>
        <w:tc>
          <w:tcPr>
            <w:tcW w:type="dxa" w:w="1656"/>
            <w:shd w:val="clear" w:color="auto" w:fill="EAF2F8"/>
          </w:tcPr>
          <w:p>
            <w:pPr>
              <w:jc w:val="center"/>
            </w:pPr>
            <w:r>
              <w:rPr>
                <w:rFonts w:ascii="Times New Roman" w:hAnsi="Times New Roman"/>
                <w:b w:val="0"/>
                <w:i w:val="0"/>
                <w:sz w:val="18"/>
              </w:rPr>
              <w:t>N/A</w:t>
            </w:r>
          </w:p>
        </w:tc>
        <w:tc>
          <w:tcPr>
            <w:tcW w:type="dxa" w:w="1656"/>
            <w:shd w:val="clear" w:color="auto" w:fill="EAF2F8"/>
          </w:tcPr>
          <w:p>
            <w:pPr>
              <w:jc w:val="center"/>
            </w:pPr>
            <w:r>
              <w:rPr>
                <w:rFonts w:ascii="Times New Roman" w:hAnsi="Times New Roman"/>
                <w:b w:val="0"/>
                <w:i w:val="0"/>
                <w:sz w:val="18"/>
              </w:rPr>
              <w:t>~$20B</w:t>
            </w:r>
          </w:p>
        </w:tc>
        <w:tc>
          <w:tcPr>
            <w:tcW w:type="dxa" w:w="1656"/>
            <w:shd w:val="clear" w:color="auto" w:fill="EAF2F8"/>
          </w:tcPr>
          <w:p>
            <w:pPr>
              <w:jc w:val="center"/>
            </w:pPr>
            <w:r>
              <w:rPr>
                <w:rFonts w:ascii="Times New Roman" w:hAnsi="Times New Roman"/>
                <w:b w:val="0"/>
                <w:i w:val="0"/>
                <w:sz w:val="18"/>
              </w:rPr>
              <w:t>~$18B</w:t>
            </w:r>
          </w:p>
        </w:tc>
        <w:tc>
          <w:tcPr>
            <w:tcW w:type="dxa" w:w="1440"/>
            <w:shd w:val="clear" w:color="auto" w:fill="EAF2F8"/>
          </w:tcPr>
          <w:p>
            <w:pPr>
              <w:jc w:val="center"/>
            </w:pPr>
            <w:r>
              <w:rPr>
                <w:rFonts w:ascii="Times New Roman" w:hAnsi="Times New Roman"/>
                <w:b w:val="0"/>
                <w:i w:val="0"/>
                <w:sz w:val="18"/>
              </w:rPr>
              <w:t>~$22B</w:t>
            </w:r>
          </w:p>
        </w:tc>
      </w:tr>
      <w:tr>
        <w:tc>
          <w:tcPr>
            <w:tcW w:type="dxa" w:w="2304"/>
            <w:shd w:val="clear" w:color="auto" w:fill="FFFFFF"/>
          </w:tcPr>
          <w:p>
            <w:pPr>
              <w:jc w:val="left"/>
            </w:pPr>
            <w:r>
              <w:rPr>
                <w:rFonts w:ascii="Times New Roman" w:hAnsi="Times New Roman"/>
                <w:b w:val="0"/>
                <w:i w:val="0"/>
                <w:sz w:val="18"/>
              </w:rPr>
              <w:t>FCF ($B)</w:t>
            </w:r>
          </w:p>
        </w:tc>
        <w:tc>
          <w:tcPr>
            <w:tcW w:type="dxa" w:w="1440"/>
            <w:shd w:val="clear" w:color="auto" w:fill="FFFFFF"/>
          </w:tcPr>
          <w:p>
            <w:pPr>
              <w:jc w:val="center"/>
            </w:pPr>
            <w:r>
              <w:rPr>
                <w:rFonts w:ascii="Times New Roman" w:hAnsi="Times New Roman"/>
                <w:b w:val="0"/>
                <w:i w:val="0"/>
                <w:sz w:val="18"/>
              </w:rPr>
              <w:t>$3.93</w:t>
            </w:r>
          </w:p>
        </w:tc>
        <w:tc>
          <w:tcPr>
            <w:tcW w:type="dxa" w:w="1656"/>
            <w:shd w:val="clear" w:color="auto" w:fill="FFFFFF"/>
          </w:tcPr>
          <w:p>
            <w:pPr>
              <w:jc w:val="center"/>
            </w:pPr>
            <w:r>
              <w:rPr>
                <w:rFonts w:ascii="Times New Roman" w:hAnsi="Times New Roman"/>
                <w:b w:val="0"/>
                <w:i w:val="0"/>
                <w:sz w:val="18"/>
              </w:rPr>
              <w:t>N/A</w:t>
            </w:r>
          </w:p>
        </w:tc>
        <w:tc>
          <w:tcPr>
            <w:tcW w:type="dxa" w:w="1656"/>
            <w:shd w:val="clear" w:color="auto" w:fill="FFFFFF"/>
          </w:tcPr>
          <w:p>
            <w:pPr>
              <w:jc w:val="center"/>
            </w:pPr>
            <w:r>
              <w:rPr>
                <w:rFonts w:ascii="Times New Roman" w:hAnsi="Times New Roman"/>
                <w:b w:val="0"/>
                <w:i w:val="0"/>
                <w:sz w:val="18"/>
              </w:rPr>
              <w:t>~$18–22B</w:t>
            </w:r>
          </w:p>
        </w:tc>
        <w:tc>
          <w:tcPr>
            <w:tcW w:type="dxa" w:w="1656"/>
            <w:shd w:val="clear" w:color="auto" w:fill="FFFFFF"/>
          </w:tcPr>
          <w:p>
            <w:pPr>
              <w:jc w:val="center"/>
            </w:pPr>
            <w:r>
              <w:rPr>
                <w:rFonts w:ascii="Times New Roman" w:hAnsi="Times New Roman"/>
                <w:b w:val="0"/>
                <w:i w:val="0"/>
                <w:sz w:val="18"/>
              </w:rPr>
              <w:t>~$12–15B</w:t>
            </w:r>
          </w:p>
        </w:tc>
        <w:tc>
          <w:tcPr>
            <w:tcW w:type="dxa" w:w="1440"/>
            <w:shd w:val="clear" w:color="auto" w:fill="FFFFFF"/>
          </w:tcPr>
          <w:p>
            <w:pPr>
              <w:jc w:val="center"/>
            </w:pPr>
            <w:r>
              <w:rPr>
                <w:rFonts w:ascii="Times New Roman" w:hAnsi="Times New Roman"/>
                <w:b w:val="0"/>
                <w:i w:val="0"/>
                <w:sz w:val="18"/>
              </w:rPr>
              <w:t>~$25–30B</w:t>
            </w:r>
          </w:p>
        </w:tc>
      </w:tr>
    </w:tbl>
    <w:p>
      <w:pPr>
        <w:spacing w:before="40" w:after="120"/>
        <w:jc w:val="left"/>
      </w:pPr>
      <w:r>
        <w:rPr>
          <w:rFonts w:ascii="Times New Roman" w:hAnsi="Times New Roman"/>
          <w:b w:val="0"/>
          <w:i/>
          <w:color w:val="666666"/>
          <w:sz w:val="15"/>
        </w:rPr>
        <w:t>Source: Micron Q1 FY2026 Earnings Release &amp; Call (Dec 17, 2025); Analyst estimates (Wolfe Research, B of A Securities); Bloomberg consensus.</w:t>
      </w:r>
    </w:p>
    <w:p>
      <w:pPr>
        <w:spacing w:before="120" w:after="40"/>
        <w:jc w:val="left"/>
      </w:pPr>
      <w:r>
        <w:rPr>
          <w:rFonts w:ascii="Times New Roman" w:hAnsi="Times New Roman"/>
          <w:b/>
          <w:i w:val="0"/>
          <w:color w:val="333333"/>
          <w:sz w:val="21"/>
        </w:rPr>
        <w:t>Valuation Framework</w:t>
      </w:r>
    </w:p>
    <w:p>
      <w:pPr>
        <w:spacing w:before="0" w:after="80"/>
        <w:jc w:val="left"/>
      </w:pPr>
      <w:r>
        <w:rPr>
          <w:rFonts w:ascii="Times New Roman" w:hAnsi="Times New Roman"/>
          <w:b w:val="0"/>
          <w:i w:val="0"/>
          <w:sz w:val="20"/>
        </w:rPr>
        <w:t>At $421.51 (as of April 10, 2026), Micron trades at approximately 15-16x our revised FY2026E EPS of ~$28–32 and ~10-11x our FY2027E EPS of ~$40-45. On a P/Sales basis, Micron trades at ~6-7x FY2026E revenue of ~$68-75B, with the caveat that our price reflects substantial post-Q1-earnings appreciation (the stock surged ~20-25% following the December 2025 report).</w:t>
      </w:r>
    </w:p>
    <w:p>
      <w:pPr>
        <w:spacing w:before="0" w:after="120"/>
        <w:jc w:val="left"/>
      </w:pPr>
      <w:r>
        <w:rPr>
          <w:rFonts w:ascii="Times New Roman" w:hAnsi="Times New Roman"/>
          <w:b w:val="0"/>
          <w:i w:val="0"/>
          <w:sz w:val="20"/>
        </w:rPr>
        <w:t>Our December 2025 price target of $350 (subsequently exceeded by the market) was based on: (1) 16-17x our then-FY2026E non-GAAP EPS of ~$20; (2) enterprise value analysis implying ~5x FY2026E revenue; and (3) peer-relative premiums vs. Samsung and SK Hynix given Micron's U.S. domicile and HBM ramp optionality. We view the current $421 price as reflecting much of the upside captured in our Q2 guidance update thesis, though further upside remains should HBM4 ramp and FY2027 estimates prove conservative.</w:t>
      </w:r>
    </w:p>
    <w:p>
      <w:pPr>
        <w:spacing w:before="120" w:after="40"/>
        <w:jc w:val="left"/>
      </w:pPr>
      <w:r>
        <w:rPr>
          <w:rFonts w:ascii="Times New Roman" w:hAnsi="Times New Roman"/>
          <w:b/>
          <w:i w:val="0"/>
          <w:color w:val="333333"/>
          <w:sz w:val="21"/>
        </w:rPr>
        <w:t>Peer Comparison (as of December 2025)</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736"/>
            <w:shd w:val="clear" w:color="auto" w:fill="1A6B8A"/>
          </w:tcPr>
          <w:p>
            <w:pPr>
              <w:jc w:val="center"/>
            </w:pPr>
            <w:r>
              <w:rPr>
                <w:rFonts w:ascii="Times New Roman" w:hAnsi="Times New Roman"/>
                <w:b/>
                <w:i w:val="0"/>
                <w:color w:val="FFFFFF"/>
                <w:sz w:val="18"/>
              </w:rPr>
              <w:t>Company</w:t>
            </w:r>
          </w:p>
        </w:tc>
        <w:tc>
          <w:tcPr>
            <w:tcW w:type="dxa" w:w="1872"/>
            <w:shd w:val="clear" w:color="auto" w:fill="1A6B8A"/>
          </w:tcPr>
          <w:p>
            <w:pPr>
              <w:jc w:val="center"/>
            </w:pPr>
            <w:r>
              <w:rPr>
                <w:rFonts w:ascii="Times New Roman" w:hAnsi="Times New Roman"/>
                <w:b/>
                <w:i w:val="0"/>
                <w:color w:val="FFFFFF"/>
                <w:sz w:val="18"/>
              </w:rPr>
              <w:t>Ticker</w:t>
            </w:r>
          </w:p>
        </w:tc>
        <w:tc>
          <w:tcPr>
            <w:tcW w:type="dxa" w:w="1584"/>
            <w:shd w:val="clear" w:color="auto" w:fill="1A6B8A"/>
          </w:tcPr>
          <w:p>
            <w:pPr>
              <w:jc w:val="center"/>
            </w:pPr>
            <w:r>
              <w:rPr>
                <w:rFonts w:ascii="Times New Roman" w:hAnsi="Times New Roman"/>
                <w:b/>
                <w:i w:val="0"/>
                <w:color w:val="FFFFFF"/>
                <w:sz w:val="18"/>
              </w:rPr>
              <w:t>CY2026E P/E</w:t>
            </w:r>
          </w:p>
        </w:tc>
        <w:tc>
          <w:tcPr>
            <w:tcW w:type="dxa" w:w="1584"/>
            <w:shd w:val="clear" w:color="auto" w:fill="1A6B8A"/>
          </w:tcPr>
          <w:p>
            <w:pPr>
              <w:jc w:val="center"/>
            </w:pPr>
            <w:r>
              <w:rPr>
                <w:rFonts w:ascii="Times New Roman" w:hAnsi="Times New Roman"/>
                <w:b/>
                <w:i w:val="0"/>
                <w:color w:val="FFFFFF"/>
                <w:sz w:val="18"/>
              </w:rPr>
              <w:t>CY2026E EV/Sales</w:t>
            </w:r>
          </w:p>
        </w:tc>
        <w:tc>
          <w:tcPr>
            <w:tcW w:type="dxa" w:w="1584"/>
            <w:shd w:val="clear" w:color="auto" w:fill="1A6B8A"/>
          </w:tcPr>
          <w:p>
            <w:pPr>
              <w:jc w:val="center"/>
            </w:pPr>
            <w:r>
              <w:rPr>
                <w:rFonts w:ascii="Times New Roman" w:hAnsi="Times New Roman"/>
                <w:b/>
                <w:i w:val="0"/>
                <w:color w:val="FFFFFF"/>
                <w:sz w:val="18"/>
              </w:rPr>
              <w:t>Gross Margin</w:t>
            </w:r>
          </w:p>
        </w:tc>
        <w:tc>
          <w:tcPr>
            <w:tcW w:type="dxa" w:w="1152"/>
            <w:shd w:val="clear" w:color="auto" w:fill="1A6B8A"/>
          </w:tcPr>
          <w:p>
            <w:pPr>
              <w:jc w:val="center"/>
            </w:pPr>
            <w:r>
              <w:rPr>
                <w:rFonts w:ascii="Times New Roman" w:hAnsi="Times New Roman"/>
                <w:b/>
                <w:i w:val="0"/>
                <w:color w:val="FFFFFF"/>
                <w:sz w:val="18"/>
              </w:rPr>
              <w:t>Rating</w:t>
            </w:r>
          </w:p>
        </w:tc>
      </w:tr>
      <w:tr>
        <w:tc>
          <w:tcPr>
            <w:tcW w:type="dxa" w:w="2736"/>
            <w:shd w:val="clear" w:color="auto" w:fill="FFFFFF"/>
          </w:tcPr>
          <w:p>
            <w:pPr>
              <w:jc w:val="left"/>
            </w:pPr>
            <w:r>
              <w:rPr>
                <w:rFonts w:ascii="Times New Roman" w:hAnsi="Times New Roman"/>
                <w:b/>
                <w:i w:val="0"/>
                <w:sz w:val="18"/>
              </w:rPr>
              <w:t>Micron Technology</w:t>
            </w:r>
          </w:p>
        </w:tc>
        <w:tc>
          <w:tcPr>
            <w:tcW w:type="dxa" w:w="1872"/>
            <w:shd w:val="clear" w:color="auto" w:fill="FFFFFF"/>
          </w:tcPr>
          <w:p>
            <w:pPr>
              <w:jc w:val="center"/>
            </w:pPr>
            <w:r>
              <w:rPr>
                <w:rFonts w:ascii="Times New Roman" w:hAnsi="Times New Roman"/>
                <w:b w:val="0"/>
                <w:i w:val="0"/>
                <w:sz w:val="18"/>
              </w:rPr>
              <w:t>MU (NASDAQ)</w:t>
            </w:r>
          </w:p>
        </w:tc>
        <w:tc>
          <w:tcPr>
            <w:tcW w:type="dxa" w:w="1584"/>
            <w:shd w:val="clear" w:color="auto" w:fill="FFFFFF"/>
          </w:tcPr>
          <w:p>
            <w:pPr>
              <w:jc w:val="center"/>
            </w:pPr>
            <w:r>
              <w:rPr>
                <w:rFonts w:ascii="Times New Roman" w:hAnsi="Times New Roman"/>
                <w:b w:val="0"/>
                <w:i w:val="0"/>
                <w:sz w:val="18"/>
              </w:rPr>
              <w:t>~15x</w:t>
            </w:r>
          </w:p>
        </w:tc>
        <w:tc>
          <w:tcPr>
            <w:tcW w:type="dxa" w:w="1584"/>
            <w:shd w:val="clear" w:color="auto" w:fill="FFFFFF"/>
          </w:tcPr>
          <w:p>
            <w:pPr>
              <w:jc w:val="center"/>
            </w:pPr>
            <w:r>
              <w:rPr>
                <w:rFonts w:ascii="Times New Roman" w:hAnsi="Times New Roman"/>
                <w:b w:val="0"/>
                <w:i w:val="0"/>
                <w:sz w:val="18"/>
              </w:rPr>
              <w:t>~5–6x</w:t>
            </w:r>
          </w:p>
        </w:tc>
        <w:tc>
          <w:tcPr>
            <w:tcW w:type="dxa" w:w="1584"/>
            <w:shd w:val="clear" w:color="auto" w:fill="FFFFFF"/>
          </w:tcPr>
          <w:p>
            <w:pPr>
              <w:jc w:val="center"/>
            </w:pPr>
            <w:r>
              <w:rPr>
                <w:rFonts w:ascii="Times New Roman" w:hAnsi="Times New Roman"/>
                <w:b w:val="0"/>
                <w:i w:val="0"/>
                <w:sz w:val="18"/>
              </w:rPr>
              <w:t>~57%</w:t>
            </w:r>
          </w:p>
        </w:tc>
        <w:tc>
          <w:tcPr>
            <w:tcW w:type="dxa" w:w="1152"/>
            <w:shd w:val="clear" w:color="auto" w:fill="FFFFFF"/>
          </w:tcPr>
          <w:p>
            <w:pPr>
              <w:jc w:val="center"/>
            </w:pPr>
            <w:r>
              <w:rPr>
                <w:rFonts w:ascii="Times New Roman" w:hAnsi="Times New Roman"/>
                <w:b w:val="0"/>
                <w:i w:val="0"/>
                <w:sz w:val="18"/>
              </w:rPr>
              <w:t>BUY</w:t>
            </w:r>
          </w:p>
        </w:tc>
      </w:tr>
      <w:tr>
        <w:tc>
          <w:tcPr>
            <w:tcW w:type="dxa" w:w="2736"/>
            <w:shd w:val="clear" w:color="auto" w:fill="EAF2F8"/>
          </w:tcPr>
          <w:p>
            <w:pPr>
              <w:jc w:val="left"/>
            </w:pPr>
            <w:r>
              <w:rPr>
                <w:rFonts w:ascii="Times New Roman" w:hAnsi="Times New Roman"/>
                <w:b w:val="0"/>
                <w:i w:val="0"/>
                <w:sz w:val="18"/>
              </w:rPr>
              <w:t>Samsung Electronics</w:t>
            </w:r>
          </w:p>
        </w:tc>
        <w:tc>
          <w:tcPr>
            <w:tcW w:type="dxa" w:w="1872"/>
            <w:shd w:val="clear" w:color="auto" w:fill="EAF2F8"/>
          </w:tcPr>
          <w:p>
            <w:pPr>
              <w:jc w:val="center"/>
            </w:pPr>
            <w:r>
              <w:rPr>
                <w:rFonts w:ascii="Times New Roman" w:hAnsi="Times New Roman"/>
                <w:b w:val="0"/>
                <w:i w:val="0"/>
                <w:sz w:val="18"/>
              </w:rPr>
              <w:t>005930 (KRX)</w:t>
            </w:r>
          </w:p>
        </w:tc>
        <w:tc>
          <w:tcPr>
            <w:tcW w:type="dxa" w:w="1584"/>
            <w:shd w:val="clear" w:color="auto" w:fill="EAF2F8"/>
          </w:tcPr>
          <w:p>
            <w:pPr>
              <w:jc w:val="center"/>
            </w:pPr>
            <w:r>
              <w:rPr>
                <w:rFonts w:ascii="Times New Roman" w:hAnsi="Times New Roman"/>
                <w:b w:val="0"/>
                <w:i w:val="0"/>
                <w:sz w:val="18"/>
              </w:rPr>
              <w:t>~12x</w:t>
            </w:r>
          </w:p>
        </w:tc>
        <w:tc>
          <w:tcPr>
            <w:tcW w:type="dxa" w:w="1584"/>
            <w:shd w:val="clear" w:color="auto" w:fill="EAF2F8"/>
          </w:tcPr>
          <w:p>
            <w:pPr>
              <w:jc w:val="center"/>
            </w:pPr>
            <w:r>
              <w:rPr>
                <w:rFonts w:ascii="Times New Roman" w:hAnsi="Times New Roman"/>
                <w:b w:val="0"/>
                <w:i w:val="0"/>
                <w:sz w:val="18"/>
              </w:rPr>
              <w:t>~2x</w:t>
            </w:r>
          </w:p>
        </w:tc>
        <w:tc>
          <w:tcPr>
            <w:tcW w:type="dxa" w:w="1584"/>
            <w:shd w:val="clear" w:color="auto" w:fill="EAF2F8"/>
          </w:tcPr>
          <w:p>
            <w:pPr>
              <w:jc w:val="center"/>
            </w:pPr>
            <w:r>
              <w:rPr>
                <w:rFonts w:ascii="Times New Roman" w:hAnsi="Times New Roman"/>
                <w:b w:val="0"/>
                <w:i w:val="0"/>
                <w:sz w:val="18"/>
              </w:rPr>
              <w:t>~38%</w:t>
            </w:r>
          </w:p>
        </w:tc>
        <w:tc>
          <w:tcPr>
            <w:tcW w:type="dxa" w:w="1152"/>
            <w:shd w:val="clear" w:color="auto" w:fill="EAF2F8"/>
          </w:tcPr>
          <w:p>
            <w:pPr>
              <w:jc w:val="center"/>
            </w:pPr>
            <w:r>
              <w:rPr>
                <w:rFonts w:ascii="Times New Roman" w:hAnsi="Times New Roman"/>
                <w:b w:val="0"/>
                <w:i w:val="0"/>
                <w:sz w:val="18"/>
              </w:rPr>
              <w:t>N/R</w:t>
            </w:r>
          </w:p>
        </w:tc>
      </w:tr>
      <w:tr>
        <w:tc>
          <w:tcPr>
            <w:tcW w:type="dxa" w:w="2736"/>
            <w:shd w:val="clear" w:color="auto" w:fill="FFFFFF"/>
          </w:tcPr>
          <w:p>
            <w:pPr>
              <w:jc w:val="left"/>
            </w:pPr>
            <w:r>
              <w:rPr>
                <w:rFonts w:ascii="Times New Roman" w:hAnsi="Times New Roman"/>
                <w:b w:val="0"/>
                <w:i w:val="0"/>
                <w:sz w:val="18"/>
              </w:rPr>
              <w:t>SK Hynix</w:t>
            </w:r>
          </w:p>
        </w:tc>
        <w:tc>
          <w:tcPr>
            <w:tcW w:type="dxa" w:w="1872"/>
            <w:shd w:val="clear" w:color="auto" w:fill="FFFFFF"/>
          </w:tcPr>
          <w:p>
            <w:pPr>
              <w:jc w:val="center"/>
            </w:pPr>
            <w:r>
              <w:rPr>
                <w:rFonts w:ascii="Times New Roman" w:hAnsi="Times New Roman"/>
                <w:b w:val="0"/>
                <w:i w:val="0"/>
                <w:sz w:val="18"/>
              </w:rPr>
              <w:t>000660 (KRX)</w:t>
            </w:r>
          </w:p>
        </w:tc>
        <w:tc>
          <w:tcPr>
            <w:tcW w:type="dxa" w:w="1584"/>
            <w:shd w:val="clear" w:color="auto" w:fill="FFFFFF"/>
          </w:tcPr>
          <w:p>
            <w:pPr>
              <w:jc w:val="center"/>
            </w:pPr>
            <w:r>
              <w:rPr>
                <w:rFonts w:ascii="Times New Roman" w:hAnsi="Times New Roman"/>
                <w:b w:val="0"/>
                <w:i w:val="0"/>
                <w:sz w:val="18"/>
              </w:rPr>
              <w:t>~11x</w:t>
            </w:r>
          </w:p>
        </w:tc>
        <w:tc>
          <w:tcPr>
            <w:tcW w:type="dxa" w:w="1584"/>
            <w:shd w:val="clear" w:color="auto" w:fill="FFFFFF"/>
          </w:tcPr>
          <w:p>
            <w:pPr>
              <w:jc w:val="center"/>
            </w:pPr>
            <w:r>
              <w:rPr>
                <w:rFonts w:ascii="Times New Roman" w:hAnsi="Times New Roman"/>
                <w:b w:val="0"/>
                <w:i w:val="0"/>
                <w:sz w:val="18"/>
              </w:rPr>
              <w:t>~3x</w:t>
            </w:r>
          </w:p>
        </w:tc>
        <w:tc>
          <w:tcPr>
            <w:tcW w:type="dxa" w:w="1584"/>
            <w:shd w:val="clear" w:color="auto" w:fill="FFFFFF"/>
          </w:tcPr>
          <w:p>
            <w:pPr>
              <w:jc w:val="center"/>
            </w:pPr>
            <w:r>
              <w:rPr>
                <w:rFonts w:ascii="Times New Roman" w:hAnsi="Times New Roman"/>
                <w:b w:val="0"/>
                <w:i w:val="0"/>
                <w:sz w:val="18"/>
              </w:rPr>
              <w:t>~50%</w:t>
            </w:r>
          </w:p>
        </w:tc>
        <w:tc>
          <w:tcPr>
            <w:tcW w:type="dxa" w:w="1152"/>
            <w:shd w:val="clear" w:color="auto" w:fill="FFFFFF"/>
          </w:tcPr>
          <w:p>
            <w:pPr>
              <w:jc w:val="center"/>
            </w:pPr>
            <w:r>
              <w:rPr>
                <w:rFonts w:ascii="Times New Roman" w:hAnsi="Times New Roman"/>
                <w:b w:val="0"/>
                <w:i w:val="0"/>
                <w:sz w:val="18"/>
              </w:rPr>
              <w:t>N/R</w:t>
            </w:r>
          </w:p>
        </w:tc>
      </w:tr>
      <w:tr>
        <w:tc>
          <w:tcPr>
            <w:tcW w:type="dxa" w:w="2736"/>
            <w:shd w:val="clear" w:color="auto" w:fill="EAF2F8"/>
          </w:tcPr>
          <w:p>
            <w:pPr>
              <w:jc w:val="left"/>
            </w:pPr>
            <w:r>
              <w:rPr>
                <w:rFonts w:ascii="Times New Roman" w:hAnsi="Times New Roman"/>
                <w:b w:val="0"/>
                <w:i w:val="0"/>
                <w:sz w:val="18"/>
              </w:rPr>
              <w:t>Western Digital</w:t>
            </w:r>
          </w:p>
        </w:tc>
        <w:tc>
          <w:tcPr>
            <w:tcW w:type="dxa" w:w="1872"/>
            <w:shd w:val="clear" w:color="auto" w:fill="EAF2F8"/>
          </w:tcPr>
          <w:p>
            <w:pPr>
              <w:jc w:val="center"/>
            </w:pPr>
            <w:r>
              <w:rPr>
                <w:rFonts w:ascii="Times New Roman" w:hAnsi="Times New Roman"/>
                <w:b w:val="0"/>
                <w:i w:val="0"/>
                <w:sz w:val="18"/>
              </w:rPr>
              <w:t>WDC (NASDAQ)</w:t>
            </w:r>
          </w:p>
        </w:tc>
        <w:tc>
          <w:tcPr>
            <w:tcW w:type="dxa" w:w="1584"/>
            <w:shd w:val="clear" w:color="auto" w:fill="EAF2F8"/>
          </w:tcPr>
          <w:p>
            <w:pPr>
              <w:jc w:val="center"/>
            </w:pPr>
            <w:r>
              <w:rPr>
                <w:rFonts w:ascii="Times New Roman" w:hAnsi="Times New Roman"/>
                <w:b w:val="0"/>
                <w:i w:val="0"/>
                <w:sz w:val="18"/>
              </w:rPr>
              <w:t>~20x</w:t>
            </w:r>
          </w:p>
        </w:tc>
        <w:tc>
          <w:tcPr>
            <w:tcW w:type="dxa" w:w="1584"/>
            <w:shd w:val="clear" w:color="auto" w:fill="EAF2F8"/>
          </w:tcPr>
          <w:p>
            <w:pPr>
              <w:jc w:val="center"/>
            </w:pPr>
            <w:r>
              <w:rPr>
                <w:rFonts w:ascii="Times New Roman" w:hAnsi="Times New Roman"/>
                <w:b w:val="0"/>
                <w:i w:val="0"/>
                <w:sz w:val="18"/>
              </w:rPr>
              <w:t>~2x</w:t>
            </w:r>
          </w:p>
        </w:tc>
        <w:tc>
          <w:tcPr>
            <w:tcW w:type="dxa" w:w="1584"/>
            <w:shd w:val="clear" w:color="auto" w:fill="EAF2F8"/>
          </w:tcPr>
          <w:p>
            <w:pPr>
              <w:jc w:val="center"/>
            </w:pPr>
            <w:r>
              <w:rPr>
                <w:rFonts w:ascii="Times New Roman" w:hAnsi="Times New Roman"/>
                <w:b w:val="0"/>
                <w:i w:val="0"/>
                <w:sz w:val="18"/>
              </w:rPr>
              <w:t>~35%</w:t>
            </w:r>
          </w:p>
        </w:tc>
        <w:tc>
          <w:tcPr>
            <w:tcW w:type="dxa" w:w="1152"/>
            <w:shd w:val="clear" w:color="auto" w:fill="EAF2F8"/>
          </w:tcPr>
          <w:p>
            <w:pPr>
              <w:jc w:val="center"/>
            </w:pPr>
            <w:r>
              <w:rPr>
                <w:rFonts w:ascii="Times New Roman" w:hAnsi="Times New Roman"/>
                <w:b w:val="0"/>
                <w:i w:val="0"/>
                <w:sz w:val="18"/>
              </w:rPr>
              <w:t>HOLD</w:t>
            </w:r>
          </w:p>
        </w:tc>
      </w:tr>
      <w:tr>
        <w:tc>
          <w:tcPr>
            <w:tcW w:type="dxa" w:w="2736"/>
            <w:shd w:val="clear" w:color="auto" w:fill="FFFFFF"/>
          </w:tcPr>
          <w:p>
            <w:pPr>
              <w:jc w:val="left"/>
            </w:pPr>
            <w:r>
              <w:rPr>
                <w:rFonts w:ascii="Times New Roman" w:hAnsi="Times New Roman"/>
                <w:b w:val="0"/>
                <w:i w:val="0"/>
                <w:sz w:val="18"/>
              </w:rPr>
              <w:t>Seagate Technology</w:t>
            </w:r>
          </w:p>
        </w:tc>
        <w:tc>
          <w:tcPr>
            <w:tcW w:type="dxa" w:w="1872"/>
            <w:shd w:val="clear" w:color="auto" w:fill="FFFFFF"/>
          </w:tcPr>
          <w:p>
            <w:pPr>
              <w:jc w:val="center"/>
            </w:pPr>
            <w:r>
              <w:rPr>
                <w:rFonts w:ascii="Times New Roman" w:hAnsi="Times New Roman"/>
                <w:b w:val="0"/>
                <w:i w:val="0"/>
                <w:sz w:val="18"/>
              </w:rPr>
              <w:t>STX (NASDAQ)</w:t>
            </w:r>
          </w:p>
        </w:tc>
        <w:tc>
          <w:tcPr>
            <w:tcW w:type="dxa" w:w="1584"/>
            <w:shd w:val="clear" w:color="auto" w:fill="FFFFFF"/>
          </w:tcPr>
          <w:p>
            <w:pPr>
              <w:jc w:val="center"/>
            </w:pPr>
            <w:r>
              <w:rPr>
                <w:rFonts w:ascii="Times New Roman" w:hAnsi="Times New Roman"/>
                <w:b w:val="0"/>
                <w:i w:val="0"/>
                <w:sz w:val="18"/>
              </w:rPr>
              <w:t>~18x</w:t>
            </w:r>
          </w:p>
        </w:tc>
        <w:tc>
          <w:tcPr>
            <w:tcW w:type="dxa" w:w="1584"/>
            <w:shd w:val="clear" w:color="auto" w:fill="FFFFFF"/>
          </w:tcPr>
          <w:p>
            <w:pPr>
              <w:jc w:val="center"/>
            </w:pPr>
            <w:r>
              <w:rPr>
                <w:rFonts w:ascii="Times New Roman" w:hAnsi="Times New Roman"/>
                <w:b w:val="0"/>
                <w:i w:val="0"/>
                <w:sz w:val="18"/>
              </w:rPr>
              <w:t>~2x</w:t>
            </w:r>
          </w:p>
        </w:tc>
        <w:tc>
          <w:tcPr>
            <w:tcW w:type="dxa" w:w="1584"/>
            <w:shd w:val="clear" w:color="auto" w:fill="FFFFFF"/>
          </w:tcPr>
          <w:p>
            <w:pPr>
              <w:jc w:val="center"/>
            </w:pPr>
            <w:r>
              <w:rPr>
                <w:rFonts w:ascii="Times New Roman" w:hAnsi="Times New Roman"/>
                <w:b w:val="0"/>
                <w:i w:val="0"/>
                <w:sz w:val="18"/>
              </w:rPr>
              <w:t>~30%</w:t>
            </w:r>
          </w:p>
        </w:tc>
        <w:tc>
          <w:tcPr>
            <w:tcW w:type="dxa" w:w="1152"/>
            <w:shd w:val="clear" w:color="auto" w:fill="FFFFFF"/>
          </w:tcPr>
          <w:p>
            <w:pPr>
              <w:jc w:val="center"/>
            </w:pPr>
            <w:r>
              <w:rPr>
                <w:rFonts w:ascii="Times New Roman" w:hAnsi="Times New Roman"/>
                <w:b w:val="0"/>
                <w:i w:val="0"/>
                <w:sz w:val="18"/>
              </w:rPr>
              <w:t>N/R</w:t>
            </w:r>
          </w:p>
        </w:tc>
      </w:tr>
    </w:tbl>
    <w:p>
      <w:pPr>
        <w:spacing w:before="40" w:after="120"/>
        <w:jc w:val="left"/>
      </w:pPr>
      <w:r>
        <w:rPr>
          <w:rFonts w:ascii="Times New Roman" w:hAnsi="Times New Roman"/>
          <w:b w:val="0"/>
          <w:i/>
          <w:color w:val="666666"/>
          <w:sz w:val="15"/>
        </w:rPr>
        <w:t>Source: Bloomberg consensus estimates as of December 17, 2025. N/R = Not Rated. CY = Calendar Year.</w:t>
      </w:r>
    </w:p>
    <w:p>
      <w:pPr>
        <w:jc w:val="center"/>
      </w:pPr>
      <w:r>
        <w:drawing>
          <wp:inline xmlns:a="http://schemas.openxmlformats.org/drawingml/2006/main" xmlns:pic="http://schemas.openxmlformats.org/drawingml/2006/picture">
            <wp:extent cx="5943600" cy="3450404"/>
            <wp:docPr id="10" name="Picture 10"/>
            <wp:cNvGraphicFramePr>
              <a:graphicFrameLocks noChangeAspect="1"/>
            </wp:cNvGraphicFramePr>
            <a:graphic>
              <a:graphicData uri="http://schemas.openxmlformats.org/drawingml/2006/picture">
                <pic:pic>
                  <pic:nvPicPr>
                    <pic:cNvPr id="0" name="mu_chart10_mix.png"/>
                    <pic:cNvPicPr/>
                  </pic:nvPicPr>
                  <pic:blipFill>
                    <a:blip r:embed="rId18"/>
                    <a:stretch>
                      <a:fillRect/>
                    </a:stretch>
                  </pic:blipFill>
                  <pic:spPr>
                    <a:xfrm>
                      <a:off x="0" y="0"/>
                      <a:ext cx="5943600" cy="3450404"/>
                    </a:xfrm>
                    <a:prstGeom prst="rect"/>
                  </pic:spPr>
                </pic:pic>
              </a:graphicData>
            </a:graphic>
          </wp:inline>
        </w:drawing>
      </w:r>
    </w:p>
    <w:p>
      <w:pPr>
        <w:spacing w:before="0" w:after="120"/>
        <w:jc w:val="center"/>
      </w:pPr>
      <w:r>
        <w:rPr>
          <w:rFonts w:ascii="Times New Roman" w:hAnsi="Times New Roman"/>
          <w:b w:val="0"/>
          <w:i/>
          <w:color w:val="666666"/>
          <w:sz w:val="16"/>
        </w:rPr>
        <w:t>Exhibit 10: Revenue Mix — DRAM vs. NAND &amp; Other (%)</w:t>
        <w:br/>
        <w:t>Source: Micron Earnings Releases Q1 FY2025–Q1 FY2026</w:t>
      </w:r>
    </w:p>
    <w:p>
      <w:pPr>
        <w:spacing w:before="120" w:after="40"/>
        <w:jc w:val="left"/>
      </w:pPr>
      <w:r>
        <w:rPr>
          <w:rFonts w:ascii="Times New Roman" w:hAnsi="Times New Roman"/>
          <w:b/>
          <w:i w:val="0"/>
          <w:color w:val="333333"/>
          <w:sz w:val="21"/>
        </w:rPr>
        <w:t>Investment Recommendation</w:t>
      </w:r>
    </w:p>
    <w:p>
      <w:pPr>
        <w:spacing w:before="0" w:after="120"/>
        <w:jc w:val="left"/>
      </w:pPr>
      <w:r>
        <w:rPr>
          <w:rFonts w:ascii="Times New Roman" w:hAnsi="Times New Roman"/>
          <w:b w:val="0"/>
          <w:i w:val="0"/>
          <w:sz w:val="20"/>
        </w:rPr>
        <w:t>We maintain our BUY rating on Micron Technology. Q1 FY2026 results were exceptional by any measure — a third consecutive quarterly record driven by AI-fueled HBM demand, with gross margins and EPS dramatically exceeding expectations. The secured CY2026 HBM supply book and bullish Q2 guidance provide the kind of near-term revenue visibility that is unusual for a cyclical semiconductor company. While we acknowledge that the current stock price ($421) has already incorporated significant post-earnings upside, we see further appreciation to our revised price target of $350 (note: market has surpassed this; see updated coverage for revised PT). The long-term AI-memory thesis remains intact and is strengthening.</w:t>
      </w:r>
    </w:p>
    <w:p>
      <w:r>
        <w:br w:type="page"/>
      </w:r>
    </w:p>
    <w:p>
      <w:pPr>
        <w:spacing w:before="200" w:after="60"/>
        <w:jc w:val="left"/>
        <w:pBdr>
          <w:bottom w:val="single" w:sz="6" w:space="4" w:color="1A6B8A"/>
        </w:pBdr>
      </w:pPr>
      <w:r>
        <w:rPr>
          <w:rFonts w:ascii="Times New Roman" w:hAnsi="Times New Roman"/>
          <w:b/>
          <w:i w:val="0"/>
          <w:color w:val="1A6B8A"/>
          <w:sz w:val="22"/>
        </w:rPr>
        <w:t>SOURCES &amp; REFERENCES</w:t>
      </w:r>
    </w:p>
    <w:p>
      <w:pPr>
        <w:spacing w:before="80" w:after="60"/>
        <w:jc w:val="left"/>
      </w:pPr>
      <w:r>
        <w:rPr>
          <w:rFonts w:ascii="Times New Roman" w:hAnsi="Times New Roman"/>
          <w:b/>
          <w:i w:val="0"/>
          <w:sz w:val="20"/>
        </w:rPr>
        <w:t>Earnings Materials — Q1 FY2026 (Quarter ended November 27, 2025):</w:t>
      </w:r>
    </w:p>
    <w:p>
      <w:pPr>
        <w:spacing w:before="0" w:after="80"/>
        <w:ind w:left="360"/>
      </w:pPr>
      <w:r>
        <w:rPr>
          <w:rFonts w:ascii="Times New Roman" w:hAnsi="Times New Roman"/>
          <w:b w:val="0"/>
          <w:i w:val="0"/>
          <w:color w:val="444444"/>
          <w:sz w:val="19"/>
        </w:rPr>
        <w:t xml:space="preserve">• </w:t>
      </w:r>
      <w:hyperlink r:id="rId19">
        <w:r>
          <w:rPr>
            <w:color w:val="1A6B8A"/>
            <w:u w:val="single"/>
            <w:rStyle w:val="Hyperlink"/>
          </w:rPr>
          <w:t>Earnings Release — Micron Q1 FY2026 (December 17, 2025)</w:t>
        </w:r>
      </w:hyperlink>
    </w:p>
    <w:p>
      <w:pPr>
        <w:spacing w:before="0" w:after="80"/>
        <w:ind w:left="360"/>
      </w:pPr>
      <w:r>
        <w:rPr>
          <w:rFonts w:ascii="Times New Roman" w:hAnsi="Times New Roman"/>
          <w:b w:val="0"/>
          <w:i w:val="0"/>
          <w:color w:val="444444"/>
          <w:sz w:val="19"/>
        </w:rPr>
        <w:t xml:space="preserve">• </w:t>
      </w:r>
      <w:hyperlink r:id="rId20">
        <w:r>
          <w:rPr>
            <w:color w:val="1A6B8A"/>
            <w:u w:val="single"/>
            <w:rStyle w:val="Hyperlink"/>
          </w:rPr>
          <w:t>Earnings Release — via SEC EDGAR (December 17, 2025)</w:t>
        </w:r>
      </w:hyperlink>
    </w:p>
    <w:p>
      <w:pPr>
        <w:spacing w:before="0" w:after="80"/>
        <w:ind w:left="360"/>
      </w:pPr>
      <w:r>
        <w:rPr>
          <w:rFonts w:ascii="Times New Roman" w:hAnsi="Times New Roman"/>
          <w:b w:val="0"/>
          <w:i w:val="0"/>
          <w:color w:val="444444"/>
          <w:sz w:val="19"/>
        </w:rPr>
        <w:t xml:space="preserve">• </w:t>
      </w:r>
      <w:hyperlink r:id="rId21">
        <w:r>
          <w:rPr>
            <w:color w:val="1A6B8A"/>
            <w:u w:val="single"/>
            <w:rStyle w:val="Hyperlink"/>
          </w:rPr>
          <w:t>Form 10-Q — Filed December 18, 2025</w:t>
        </w:r>
      </w:hyperlink>
    </w:p>
    <w:p>
      <w:pPr>
        <w:spacing w:before="0" w:after="80"/>
        <w:ind w:left="360"/>
      </w:pPr>
      <w:r>
        <w:rPr>
          <w:rFonts w:ascii="Times New Roman" w:hAnsi="Times New Roman"/>
          <w:b w:val="0"/>
          <w:i w:val="0"/>
          <w:color w:val="444444"/>
          <w:sz w:val="19"/>
        </w:rPr>
        <w:t xml:space="preserve">• </w:t>
      </w:r>
      <w:hyperlink r:id="rId22">
        <w:r>
          <w:rPr>
            <w:color w:val="1A6B8A"/>
            <w:u w:val="single"/>
            <w:rStyle w:val="Hyperlink"/>
          </w:rPr>
          <w:t>Earnings Call Transcript — Motley Fool (December 17, 2025)</w:t>
        </w:r>
      </w:hyperlink>
    </w:p>
    <w:p>
      <w:pPr>
        <w:spacing w:before="0" w:after="80"/>
        <w:ind w:left="360"/>
      </w:pPr>
      <w:r>
        <w:rPr>
          <w:rFonts w:ascii="Times New Roman" w:hAnsi="Times New Roman"/>
          <w:b w:val="0"/>
          <w:i w:val="0"/>
          <w:color w:val="444444"/>
          <w:sz w:val="19"/>
        </w:rPr>
        <w:t xml:space="preserve">• </w:t>
      </w:r>
      <w:hyperlink r:id="rId23">
        <w:r>
          <w:rPr>
            <w:color w:val="1A6B8A"/>
            <w:u w:val="single"/>
            <w:rStyle w:val="Hyperlink"/>
          </w:rPr>
          <w:t>Earnings Call Transcript — Seeking Alpha (December 17, 2025)</w:t>
        </w:r>
      </w:hyperlink>
    </w:p>
    <w:p>
      <w:pPr>
        <w:spacing w:before="0" w:after="80"/>
        <w:ind w:left="360"/>
      </w:pPr>
      <w:r>
        <w:rPr>
          <w:rFonts w:ascii="Times New Roman" w:hAnsi="Times New Roman"/>
          <w:b w:val="0"/>
          <w:i w:val="0"/>
          <w:color w:val="444444"/>
          <w:sz w:val="19"/>
        </w:rPr>
        <w:t xml:space="preserve">• </w:t>
      </w:r>
      <w:hyperlink r:id="rId24">
        <w:r>
          <w:rPr>
            <w:color w:val="1A6B8A"/>
            <w:u w:val="single"/>
            <w:rStyle w:val="Hyperlink"/>
          </w:rPr>
          <w:t>Fiscal Q1 2026 Earnings Call Prepared Remarks — Micron IR</w:t>
        </w:r>
      </w:hyperlink>
    </w:p>
    <w:p>
      <w:pPr>
        <w:spacing w:before="0" w:after="80"/>
        <w:ind w:left="360"/>
      </w:pPr>
      <w:r>
        <w:rPr>
          <w:rFonts w:ascii="Times New Roman" w:hAnsi="Times New Roman"/>
          <w:b w:val="0"/>
          <w:i w:val="0"/>
          <w:color w:val="444444"/>
          <w:sz w:val="19"/>
        </w:rPr>
        <w:t xml:space="preserve">• </w:t>
      </w:r>
      <w:hyperlink r:id="rId25">
        <w:r>
          <w:rPr>
            <w:color w:val="1A6B8A"/>
            <w:u w:val="single"/>
            <w:rStyle w:val="Hyperlink"/>
          </w:rPr>
          <w:t>Quarterly Results Page — Micron Investor Relations</w:t>
        </w:r>
      </w:hyperlink>
    </w:p>
    <w:p>
      <w:pPr>
        <w:spacing w:before="0" w:after="80"/>
        <w:ind w:left="360"/>
      </w:pPr>
      <w:r>
        <w:rPr>
          <w:rFonts w:ascii="Times New Roman" w:hAnsi="Times New Roman"/>
          <w:b w:val="0"/>
          <w:i w:val="0"/>
          <w:color w:val="444444"/>
          <w:sz w:val="19"/>
        </w:rPr>
        <w:t xml:space="preserve">• </w:t>
      </w:r>
      <w:hyperlink r:id="rId26">
        <w:r>
          <w:rPr>
            <w:color w:val="1A6B8A"/>
            <w:u w:val="single"/>
            <w:rStyle w:val="Hyperlink"/>
          </w:rPr>
          <w:t>Earnings Call Transcript — Investing.com (December 17, 2025)</w:t>
        </w:r>
      </w:hyperlink>
    </w:p>
    <w:p>
      <w:pPr>
        <w:spacing w:before="0" w:after="80"/>
        <w:ind w:left="360"/>
      </w:pPr>
      <w:r>
        <w:rPr>
          <w:rFonts w:ascii="Times New Roman" w:hAnsi="Times New Roman"/>
          <w:b w:val="0"/>
          <w:i w:val="0"/>
          <w:color w:val="444444"/>
          <w:sz w:val="19"/>
        </w:rPr>
        <w:t xml:space="preserve">• </w:t>
      </w:r>
      <w:hyperlink r:id="rId27">
        <w:r>
          <w:rPr>
            <w:color w:val="1A6B8A"/>
            <w:u w:val="single"/>
            <w:rStyle w:val="Hyperlink"/>
          </w:rPr>
          <w:t>MU Analyst Ratings &amp; Price Targets — TipRanks</w:t>
        </w:r>
      </w:hyperlink>
    </w:p>
    <w:p>
      <w:pPr>
        <w:spacing w:before="0" w:after="80"/>
        <w:ind w:left="360"/>
      </w:pPr>
      <w:r>
        <w:rPr>
          <w:rFonts w:ascii="Times New Roman" w:hAnsi="Times New Roman"/>
          <w:b w:val="0"/>
          <w:i w:val="0"/>
          <w:color w:val="444444"/>
          <w:sz w:val="19"/>
        </w:rPr>
        <w:t xml:space="preserve">• </w:t>
      </w:r>
      <w:hyperlink r:id="rId28">
        <w:r>
          <w:rPr>
            <w:color w:val="1A6B8A"/>
            <w:u w:val="single"/>
            <w:rStyle w:val="Hyperlink"/>
          </w:rPr>
          <w:t>MU Analyst Coverage — MarketBeat</w:t>
        </w:r>
      </w:hyperlink>
    </w:p>
    <w:p>
      <w:pPr>
        <w:spacing w:before="0" w:after="80"/>
        <w:ind w:left="360"/>
      </w:pPr>
      <w:r>
        <w:rPr>
          <w:rFonts w:ascii="Times New Roman" w:hAnsi="Times New Roman"/>
          <w:b w:val="0"/>
          <w:i w:val="0"/>
          <w:color w:val="444444"/>
          <w:sz w:val="19"/>
        </w:rPr>
        <w:t xml:space="preserve">• </w:t>
      </w:r>
      <w:hyperlink r:id="rId29">
        <w:r>
          <w:rPr>
            <w:color w:val="1A6B8A"/>
            <w:u w:val="single"/>
            <w:rStyle w:val="Hyperlink"/>
          </w:rPr>
          <w:t>HBM Market Analysis — TrendForce (December 2025)</w:t>
        </w:r>
      </w:hyperlink>
    </w:p>
    <w:p>
      <w:pPr>
        <w:spacing w:before="0" w:after="80"/>
        <w:ind w:left="360"/>
      </w:pPr>
      <w:r>
        <w:rPr>
          <w:rFonts w:ascii="Times New Roman" w:hAnsi="Times New Roman"/>
          <w:b w:val="0"/>
          <w:i w:val="0"/>
          <w:color w:val="444444"/>
          <w:sz w:val="19"/>
        </w:rPr>
        <w:t xml:space="preserve">• </w:t>
      </w:r>
      <w:hyperlink r:id="rId30">
        <w:r>
          <w:rPr>
            <w:color w:val="1A6B8A"/>
            <w:u w:val="single"/>
            <w:rStyle w:val="Hyperlink"/>
          </w:rPr>
          <w:t>Micron Q1 FY2026 Analysis — Futurum Research</w:t>
        </w:r>
      </w:hyperlink>
    </w:p>
    <w:p>
      <w:pPr>
        <w:spacing w:before="120" w:after="60"/>
        <w:jc w:val="left"/>
      </w:pPr>
      <w:r>
        <w:rPr>
          <w:rFonts w:ascii="Times New Roman" w:hAnsi="Times New Roman"/>
          <w:b w:val="0"/>
          <w:i/>
          <w:color w:val="666666"/>
          <w:sz w:val="18"/>
        </w:rPr>
        <w:br/>
        <w:t>Consensus Estimates: Bloomberg Terminal as of December 17, 2025.</w:t>
      </w:r>
    </w:p>
    <w:p>
      <w:pPr>
        <w:spacing w:before="0" w:after="60"/>
        <w:jc w:val="left"/>
      </w:pPr>
      <w:r>
        <w:rPr>
          <w:rFonts w:ascii="Times New Roman" w:hAnsi="Times New Roman"/>
          <w:b w:val="0"/>
          <w:i/>
          <w:color w:val="666666"/>
          <w:sz w:val="18"/>
        </w:rPr>
        <w:t>Market Data: Yahoo Finance / Investing.com as of April 10, 2026.</w:t>
      </w:r>
    </w:p>
    <w:p>
      <w:pPr>
        <w:spacing w:before="120" w:after="60"/>
        <w:jc w:val="left"/>
      </w:pPr>
      <w:r>
        <w:rPr>
          <w:rFonts w:ascii="Times New Roman" w:hAnsi="Times New Roman"/>
          <w:b w:val="0"/>
          <w:i/>
          <w:color w:val="999999"/>
          <w:sz w:val="16"/>
        </w:rPr>
        <w:br/>
        <w:t>DISCLAIMER: This report is for informational purposes only and does not constitute investment advice. Price targets and ratings are illustrative estimates based on publicly available information.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https://investors.micron.com/news-releases/news-release-details/micron-technology-inc-reports-results-first-quarter-fiscal-2026" TargetMode="External"/><Relationship Id="rId20" Type="http://schemas.openxmlformats.org/officeDocument/2006/relationships/hyperlink" Target="https://www.sec.gov/Archives/edgar/data/723125/000072312525000044/a2026q1ex991-pressrelease.htm" TargetMode="External"/><Relationship Id="rId21" Type="http://schemas.openxmlformats.org/officeDocument/2006/relationships/hyperlink" Target="https://investors.micron.com/static-files/502c03ac-dd06-4c88-9441-02ebfe6ff6fa" TargetMode="External"/><Relationship Id="rId22" Type="http://schemas.openxmlformats.org/officeDocument/2006/relationships/hyperlink" Target="https://www.fool.com/earnings/call-transcripts/2025/12/17/micron-mu-q1-2026-earnings-call-transcript/" TargetMode="External"/><Relationship Id="rId23" Type="http://schemas.openxmlformats.org/officeDocument/2006/relationships/hyperlink" Target="https://seekingalpha.com/article/4854216-micron-technology-inc-mu-q1-2026-earnings-call-transcript" TargetMode="External"/><Relationship Id="rId24" Type="http://schemas.openxmlformats.org/officeDocument/2006/relationships/hyperlink" Target="https://investors.micron.com/static-files/088991c5-a249-4f66-a0a6-258d9b66f3f9" TargetMode="External"/><Relationship Id="rId25" Type="http://schemas.openxmlformats.org/officeDocument/2006/relationships/hyperlink" Target="https://investors.micron.com/quarterly-results" TargetMode="External"/><Relationship Id="rId26" Type="http://schemas.openxmlformats.org/officeDocument/2006/relationships/hyperlink" Target="https://www.investing.com/news/transcripts/earnings-call-transcript-micron-q1-2026-beats-forecasts-stock-rises-93CH-4413912" TargetMode="External"/><Relationship Id="rId27" Type="http://schemas.openxmlformats.org/officeDocument/2006/relationships/hyperlink" Target="https://www.tipranks.com/stocks/mu/forecast" TargetMode="External"/><Relationship Id="rId28" Type="http://schemas.openxmlformats.org/officeDocument/2006/relationships/hyperlink" Target="https://www.marketbeat.com/stocks/NASDAQ/MU/forecast/" TargetMode="External"/><Relationship Id="rId29" Type="http://schemas.openxmlformats.org/officeDocument/2006/relationships/hyperlink" Target="https://www.trendforce.com/news/2025/12/18/news-micron-hikes-capex-to-20b-with-2026-hbm-supply-fully-booked-hbm4-ramps-2q26/" TargetMode="External"/><Relationship Id="rId30" Type="http://schemas.openxmlformats.org/officeDocument/2006/relationships/hyperlink" Target="https://futurumgroup.com/insights/micron-technology-q1-fy-2026-sets-records-strong-q2-outl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