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eastAsia="黑体"/>
          <w:b/>
          <w:color w:val="1A2D5A"/>
          <w:sz w:val="36"/>
        </w:rPr>
        <w:t>中国旅游集团中免股份有限公司</w:t>
      </w:r>
    </w:p>
    <w:p>
      <w:pPr>
        <w:jc w:val="center"/>
      </w:pPr>
      <w:r>
        <w:rPr>
          <w:rFonts w:eastAsia="宋体"/>
          <w:color w:val="8B8B8B"/>
          <w:sz w:val="22"/>
        </w:rPr>
        <w:t>601888.SS  |  1880.HK  |  股票研究 — 业绩更新报告</w:t>
      </w:r>
    </w:p>
    <w:p>
      <w:pPr>
        <w:jc w:val="center"/>
      </w:pPr>
      <w:r>
        <w:rPr>
          <w:rFonts w:eastAsia="黑体"/>
          <w:b/>
          <w:color w:val="C41230"/>
          <w:sz w:val="24"/>
        </w:rPr>
        <w:t>2025年Q4 / 全年业绩更新  ·  2026年3月21日</w:t>
      </w:r>
    </w:p>
    <w:p>
      <w:pPr>
        <w:spacing w:before="80" w:after="80"/>
        <w:pBdr>
          <w:bottom w:val="single" w:sz="6" w:space="1" w:color="C4123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评级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A股目标价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H股目标价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H股现价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市值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52周区间（港股）</w:t>
            </w:r>
          </w:p>
        </w:tc>
      </w:tr>
      <w:tr>
        <w:tc>
          <w:tcPr>
            <w:tcW w:type="dxa" w:w="1624"/>
            <w:shd w:val="clear" w:color="auto" w:fill="C41230"/>
          </w:tcPr>
          <w:p>
            <w:pPr>
              <w:jc w:val="center"/>
            </w:pPr>
            <w:r>
              <w:rPr>
                <w:rFonts w:eastAsia="宋体"/>
                <w:b/>
                <w:color w:val="FFFFFF"/>
                <w:sz w:val="18"/>
              </w:rPr>
              <w:t>买入</w:t>
            </w:r>
          </w:p>
        </w:tc>
        <w:tc>
          <w:tcPr>
            <w:tcW w:type="dxa" w:w="1624"/>
            <w:shd w:val="clear" w:color="auto" w:fill="F5F0E8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人民币108.00元</w:t>
            </w:r>
          </w:p>
        </w:tc>
        <w:tc>
          <w:tcPr>
            <w:tcW w:type="dxa" w:w="1624"/>
            <w:shd w:val="clear" w:color="auto" w:fill="F5F0E8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港币95.00元</w:t>
            </w:r>
          </w:p>
        </w:tc>
        <w:tc>
          <w:tcPr>
            <w:tcW w:type="dxa" w:w="1624"/>
            <w:shd w:val="clear" w:color="auto" w:fill="F5F0E8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HKD 69.50</w:t>
            </w:r>
          </w:p>
        </w:tc>
        <w:tc>
          <w:tcPr>
            <w:tcW w:type="dxa" w:w="1624"/>
            <w:shd w:val="clear" w:color="auto" w:fill="F5F0E8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约1709亿人民币（约23亿美元）</w:t>
            </w:r>
          </w:p>
        </w:tc>
        <w:tc>
          <w:tcPr>
            <w:tcW w:type="dxa" w:w="1624"/>
            <w:shd w:val="clear" w:color="auto" w:fill="F5F0E8"/>
          </w:tcPr>
          <w:p>
            <w:pPr>
              <w:jc w:val="center"/>
            </w:pPr>
            <w:r>
              <w:rPr>
                <w:rFonts w:eastAsia="宋体"/>
                <w:b/>
                <w:sz w:val="18"/>
              </w:rPr>
              <w:t>HKD 43.15 – HKD 107.00</w:t>
            </w:r>
          </w:p>
        </w:tc>
      </w:tr>
    </w:tbl>
    <w:p/>
    <w:p>
      <w:pPr>
        <w:spacing w:before="280" w:after="80"/>
      </w:pPr>
      <w:r>
        <w:rPr>
          <w:rFonts w:eastAsia="黑体"/>
          <w:b/>
          <w:color w:val="C41230"/>
          <w:sz w:val="26"/>
        </w:rPr>
        <w:t>一、业绩摘要 — 2025年Q4 / 全年</w:t>
      </w:r>
    </w:p>
    <w:p>
      <w:pPr>
        <w:spacing w:before="40" w:after="40"/>
      </w:pPr>
      <w:r>
        <w:rPr>
          <w:rFonts w:eastAsia="宋体"/>
          <w:b w:val="0"/>
          <w:sz w:val="20"/>
        </w:rPr>
        <w:t>中国旅游集团中免股份有限公司（601888.SS / 1880.HK，下称“中国中免”或“公司”）于2026年3月20日披露2025年全年业绩快报，完整年报预计于2026年3月31日发布。快报数据显示：全年营收继续收缩，但2025年第四季度出现关键拐点——单季营收同比增速转正，系2023年Q2以来首次；净利润同比大幅回升+53.5%，印证中国免税行业多年调整周期正在结束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核心要点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营收降幅大幅收窄：</w:t>
      </w:r>
      <w:r>
        <w:rPr>
          <w:rFonts w:eastAsia="宋体"/>
          <w:sz w:val="20"/>
        </w:rPr>
        <w:t>2025年全年营收536.94亿元，同比下降-4.9%，降幅较2024年的-16.4%显著收窄，环比走势逐季改善：Q1 -11%、Q2 -8.5%、Q3 -0.4%、Q4 +2.8%。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Q4营收拐点确立：</w:t>
      </w:r>
      <w:r>
        <w:rPr>
          <w:rFonts w:eastAsia="宋体"/>
          <w:sz w:val="20"/>
        </w:rPr>
        <w:t>2025年Q4单季营收138.31亿元，同比增长+2.81%，为近18个月来首次正增长，主要受益于海南封关预期升温、年末消费旺季提振及城市免税新渠道贡献。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盈利加速修复：</w:t>
      </w:r>
      <w:r>
        <w:rPr>
          <w:rFonts w:eastAsia="宋体"/>
          <w:sz w:val="20"/>
        </w:rPr>
        <w:t>2025年全年归母净利润35.86亿元，同比下降-16.0%；Q4单季归母净利润5.34亿元，同比大增+53.5%；剔除商誉减值后Q4调整后净利润同比约增+150.6%，经营层面大幅改善。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毛利率显著回升：</w:t>
      </w:r>
      <w:r>
        <w:rPr>
          <w:rFonts w:eastAsia="宋体"/>
          <w:sz w:val="20"/>
        </w:rPr>
        <w:t>2025年全年毛利率约33.0%，同比提升约+51个基点，扭转前三季度下滑趋势；Q4单季毛利率同比改善约+4.12个百分点，为近年来最大季度环比改善幅度。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超预期程度：</w:t>
      </w:r>
      <w:r>
        <w:rPr>
          <w:rFonts w:eastAsia="宋体"/>
          <w:sz w:val="20"/>
        </w:rPr>
        <w:t>全年业绩与Wind一致预期（约35.82亿元）基本吻合（+0.1%）；Q4营收较市场预期超出约+4.8%，Q4净利润超出约+11.3%，显示年末市场预期过于保守。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催化剂集中兑现：</w:t>
      </w:r>
      <w:r>
        <w:rPr>
          <w:rFonts w:eastAsia="宋体"/>
          <w:sz w:val="20"/>
        </w:rPr>
        <w:t>三大战略催化剂于2025年底至2026年初相继落地：（1）海南自贸港全岛封关（2025年12月18日正式启动）；（2）国内城市免税店政策扩围至40余城（2025年11月）；（3）收购DFS大中华区零售业务（2026年1月19日），LVMH集团及Miller家族以H股战略投资者身份入股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业绩快照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2025年全年实际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2024年全年实际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同比变化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一致预期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超预期情况</w:t>
            </w:r>
          </w:p>
        </w:tc>
      </w:tr>
      <w:tr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营业收入（亿元）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536.94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564.74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−4.92%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约536.50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+0.08%（符合）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归母净利润（亿元）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35.86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42.67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−15.97%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约35.82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+0.11%（符合）</w:t>
            </w:r>
          </w:p>
        </w:tc>
      </w:tr>
      <w:tr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扣非归母净利润（亿元）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35.44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41.42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−14.44%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综合毛利率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约33.0%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约32.5%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+51个基点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</w:tr>
      <w:tr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Q4营收（亿元）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138.31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134.53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+2.81%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约132.0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+4.8%（超预期）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Q4归母净利润（亿元）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5.34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3.48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+53.49%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约4.80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+11.3%（超预期）</w:t>
            </w:r>
          </w:p>
        </w:tc>
      </w:tr>
      <w:tr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Q4毛利率变化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同比+4.12个百分点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7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hart1_quarter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eastAsia="宋体"/>
          <w:b w:val="0"/>
          <w:sz w:val="16"/>
        </w:rPr>
        <w:t>图1：季度营收趋势（2024Q1–2025Q4）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5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hart7_beat_mi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eastAsia="宋体"/>
          <w:b w:val="0"/>
          <w:sz w:val="16"/>
        </w:rPr>
        <w:t>图2：实际业绩与一致预期对比（超预期/符合预期分析）</w:t>
      </w:r>
    </w:p>
    <w:p>
      <w:r>
        <w:br w:type="page"/>
      </w:r>
    </w:p>
    <w:p>
      <w:pPr>
        <w:spacing w:before="280" w:after="80"/>
      </w:pPr>
      <w:r>
        <w:rPr>
          <w:rFonts w:eastAsia="黑体"/>
          <w:b/>
          <w:color w:val="C41230"/>
          <w:sz w:val="26"/>
        </w:rPr>
        <w:t>二、详细业绩分析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2025年全年营收</w:t>
      </w:r>
    </w:p>
    <w:p>
      <w:pPr>
        <w:spacing w:before="40" w:after="40"/>
      </w:pPr>
      <w:r>
        <w:rPr>
          <w:rFonts w:eastAsia="宋体"/>
          <w:b w:val="0"/>
          <w:sz w:val="20"/>
        </w:rPr>
        <w:t>2025年全年营收536.94亿元，同比下降-4.9%，降幅较2024年的-16.4%大幅收窄。逐季走势显示明显的V形恢复态势：Q1至Q3营收同比降幅持续收窄，Q4实现正增长。这一走势印证管理层关于2025年为“企稳年”的判断，并为2026年的全面复苏奠定基础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2025年Q4单季 — 营收与盈利</w:t>
      </w:r>
    </w:p>
    <w:p>
      <w:pPr>
        <w:spacing w:before="40" w:after="40"/>
      </w:pPr>
      <w:r>
        <w:rPr>
          <w:rFonts w:eastAsia="宋体"/>
          <w:b w:val="0"/>
          <w:sz w:val="20"/>
        </w:rPr>
        <w:t>Q4营收138.31亿元（同比+2.81%）的意义在于其背后的周期拐点含义：结束了自2024年Q1以来持续约18个月的同比负增长。驱动因素包括：（1）海南离岛免税2025年12月销售强劲，封关预期升温带来消费前置效应；（2）深圳、广州、成都城市免税新店贡献增量；（3）机场渠道受益于入境游客恢复；（4）人民币兑美元升值降低采购成本。</w:t>
      </w:r>
    </w:p>
    <w:p>
      <w:pPr>
        <w:spacing w:before="40" w:after="40"/>
      </w:pPr>
      <w:r>
        <w:rPr>
          <w:rFonts w:eastAsia="宋体"/>
          <w:b w:val="0"/>
          <w:sz w:val="20"/>
        </w:rPr>
        <w:t>Q4归母净利润5.34亿元，同比大增+53.5%。需注意上年同期基数极低（2024年Q4仅3.48亿元，受商誉减值拖累）。剔除商誉减值后，调整后Q4净利润同比增幅约+150.6%，彰显经营层面的实质性改善。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14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hart2_quarterly_netpro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eastAsia="宋体"/>
          <w:b w:val="0"/>
          <w:sz w:val="16"/>
        </w:rPr>
        <w:t>图3：季度归母净利润趋势（2024Q1–2025Q4）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14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hart3_revenue_yo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eastAsia="宋体"/>
          <w:b w:val="0"/>
          <w:sz w:val="16"/>
        </w:rPr>
        <w:t>图4：季度营收同比增速 — 拐点修复轨迹</w:t>
      </w:r>
    </w:p>
    <w:p>
      <w:r>
        <w:br w:type="page"/>
      </w:r>
    </w:p>
    <w:p>
      <w:pPr>
        <w:spacing w:before="280" w:after="80"/>
      </w:pPr>
      <w:r>
        <w:rPr>
          <w:rFonts w:eastAsia="黑体"/>
          <w:b/>
          <w:color w:val="C41230"/>
          <w:sz w:val="26"/>
        </w:rPr>
        <w:t>三、业务板块分析</w:t>
      </w:r>
    </w:p>
    <w:p>
      <w:pPr>
        <w:spacing w:before="40" w:after="40"/>
      </w:pPr>
      <w:r>
        <w:rPr>
          <w:rFonts w:eastAsia="宋体"/>
          <w:b w:val="0"/>
          <w:sz w:val="20"/>
        </w:rPr>
        <w:t>完整2025年分部数据将于2026年3月31日年报中披露。以下分析基于半年报、三季报及业绩快报数据。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海南离岛免税 — 核心板块</w:t>
      </w:r>
    </w:p>
    <w:p>
      <w:pPr>
        <w:spacing w:before="40" w:after="40"/>
      </w:pPr>
      <w:r>
        <w:rPr>
          <w:rFonts w:eastAsia="宋体"/>
          <w:b w:val="0"/>
          <w:sz w:val="20"/>
        </w:rPr>
        <w:t>海南离岛免税是中国中免第一大营收板块，占2024年全年营收约51%（288.92亿元）。2025年上半年，海南岛离岛免税市场合计销售额167.6亿元，同比下降-9.2%。关键洞察：购物人次同比大幅下降-26.2%至248.2万人次，但人均购物金额同比大增+23.0%至6,754元，显示消费结构向高端化、精品化迁移。</w:t>
      </w:r>
    </w:p>
    <w:p>
      <w:pPr>
        <w:pStyle w:val="ListBullet"/>
        <w:spacing w:before="20" w:after="20"/>
      </w:pPr>
      <w:r>
        <w:rPr>
          <w:rFonts w:eastAsia="宋体"/>
          <w:sz w:val="20"/>
        </w:rPr>
        <w:t>中国中免在海南离岛免税市场占据约85%市场份额，旗下三大综合体（海棠湾、美兰机场、三亚市区）构成竞争护城河。</w:t>
      </w:r>
    </w:p>
    <w:p>
      <w:pPr>
        <w:pStyle w:val="ListBullet"/>
        <w:spacing w:before="20" w:after="20"/>
      </w:pPr>
      <w:r>
        <w:rPr>
          <w:rFonts w:eastAsia="宋体"/>
          <w:sz w:val="20"/>
        </w:rPr>
        <w:t>2025年9月：海南单月离岛免税销售额同比转正（+3.4%），为约18个月来首次，领先全年拐点确立。</w:t>
      </w:r>
    </w:p>
    <w:p>
      <w:pPr>
        <w:pStyle w:val="ListBullet"/>
        <w:spacing w:before="20" w:after="20"/>
      </w:pPr>
      <w:r>
        <w:rPr>
          <w:rFonts w:eastAsia="宋体"/>
          <w:sz w:val="20"/>
        </w:rPr>
        <w:t>2025年12月18日，海南自贸港正式启动全岛封关运作，零关税商品范围扩展至74个品类。2026年春节期间，中国中免海南门店客流量及销售额双创历史新高，封关政策红利加速兑现。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机场及市区免税</w:t>
      </w:r>
    </w:p>
    <w:p>
      <w:pPr>
        <w:spacing w:before="40" w:after="40"/>
      </w:pPr>
      <w:r>
        <w:rPr>
          <w:rFonts w:eastAsia="宋体"/>
          <w:b w:val="0"/>
          <w:sz w:val="20"/>
        </w:rPr>
        <w:t>机场及市区免税板块（以日上上海、北京首都机场等为代表）占2024年营收约28%（160.35亿元）。2025年上半年，上海日上等机场门店综合毛利率约24.70%，同比基本持平（-0.05个百分点）。国际航班恢复持续拉动机场渠道客流，城市免税店的推出进一步拓展购物场景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海外布局与DFS战略收购</w:t>
      </w:r>
    </w:p>
    <w:p>
      <w:pPr>
        <w:spacing w:before="40" w:after="40"/>
      </w:pPr>
      <w:r>
        <w:rPr>
          <w:rFonts w:eastAsia="宋体"/>
          <w:b w:val="0"/>
          <w:sz w:val="20"/>
        </w:rPr>
        <w:t>中国中免海外布局规模尚小但扩张加速。2024年相继在新加坡樟宜机场、香港国际机场、东京银座及斯里兰卡开设门店。2026年1月19日，公司宣布以不超过3.95亿美元收购DFS集团大中华区零售业务（含香港、澳门9家门店及品牌知识产权），LVMH集团及Miller家族通过认购H股成为战略投资者，标志着全球奢侈品龙头首次以股权形式直接战略投资中国中免，具有里程碑意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5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hart6_segment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eastAsia="宋体"/>
          <w:b w:val="0"/>
          <w:sz w:val="16"/>
        </w:rPr>
        <w:t>图5：2024年各板块营收构成（参考基准）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27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hart5_hainan_mark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eastAsia="宋体"/>
          <w:b w:val="0"/>
          <w:sz w:val="16"/>
        </w:rPr>
        <w:t>图6：海南离岛免税市场 — 总销售额与人均购物金额趋势</w:t>
      </w:r>
    </w:p>
    <w:p>
      <w:r>
        <w:br w:type="page"/>
      </w:r>
    </w:p>
    <w:p>
      <w:pPr>
        <w:spacing w:before="280" w:after="80"/>
      </w:pPr>
      <w:r>
        <w:rPr>
          <w:rFonts w:eastAsia="黑体"/>
          <w:b/>
          <w:color w:val="C41230"/>
          <w:sz w:val="26"/>
        </w:rPr>
        <w:t>四、利润率与盈利能力分析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毛利率修复</w:t>
      </w:r>
    </w:p>
    <w:p>
      <w:pPr>
        <w:spacing w:before="40" w:after="40"/>
      </w:pPr>
      <w:r>
        <w:rPr>
          <w:rFonts w:eastAsia="宋体"/>
          <w:b w:val="0"/>
          <w:sz w:val="20"/>
        </w:rPr>
        <w:t>2025年全年毛利率表现是本次业绩最亮眼的亮点之一。前三季度毛利率持续承压（9M 2025毛利率32.54%，同比下降0.58个百分点），但全年综合毛利率约33.0%，同比提升约+51个基点，说明Q4单季毛利率同比改善约+4.12个百分点，为近年来最大单季度改善幅度。</w:t>
      </w:r>
    </w:p>
    <w:p>
      <w:pPr>
        <w:spacing w:before="40" w:after="40"/>
      </w:pPr>
      <w:r>
        <w:rPr>
          <w:rFonts w:eastAsia="宋体"/>
          <w:b w:val="0"/>
          <w:sz w:val="20"/>
        </w:rPr>
        <w:t>Q4毛利率大幅提升的驱动因素：（1）消费结构高端化，奢侈品及高毛利商品占比提升；（2）人民币兑美元升值降低采购成本；（3）促销力度减弱，海南市场价格竞争趋于理性；（4）2024年Q4计提库存减值未在本期重演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净利润动态</w:t>
      </w:r>
    </w:p>
    <w:p>
      <w:pPr>
        <w:spacing w:before="40" w:after="40"/>
      </w:pPr>
      <w:r>
        <w:rPr>
          <w:rFonts w:eastAsia="宋体"/>
          <w:b w:val="0"/>
          <w:sz w:val="20"/>
        </w:rPr>
        <w:t>2025年全年归母净利润35.86亿元，同比下降-16.0%。净利润降幅（-16%）超过营收降幅（-4.9%）的主要原因：（1）旗下子公司商誉减值拨备（具体金额待3月31日年报披露）；（2）新店扩张带来的折旧摊销和利息支出增加；（3）电商直销渠道投入和海外门店建设拉高销售管理费用。扣非归母净利润35.44亿元，与归母净利润相差约0.4亿元，说明非经常性损益以商誉减值为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期间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营收（亿元）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营收同比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归母净利（亿元）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净利同比</w:t>
            </w:r>
          </w:p>
        </w:tc>
        <w:tc>
          <w:tcPr>
            <w:tcW w:type="dxa" w:w="1624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综合毛利率</w:t>
            </w:r>
          </w:p>
        </w:tc>
      </w:tr>
      <w:tr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2024年Q1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188.07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−9.5%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23.06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+0.3%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约33.2%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2024年Q2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124.58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9.76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约32.1%</w:t>
            </w:r>
          </w:p>
        </w:tc>
      </w:tr>
      <w:tr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2024年Q3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117.56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6.36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约31.8%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2024年Q4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134.53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−19.5%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3.48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−76.9%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约31.5%</w:t>
            </w:r>
          </w:p>
        </w:tc>
      </w:tr>
      <w:tr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2024全年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564.74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−16.4%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42.67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−36.4%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约32.5%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2025年Q1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167.46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−11.0%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19.38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−16.0%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约32.8%</w:t>
            </w:r>
          </w:p>
        </w:tc>
      </w:tr>
      <w:tr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2025年Q2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114.05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−8.5%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6.62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−32.2%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约31.2%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2025年Q3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117.11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−0.4%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4.52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−28.9%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约31.9%</w:t>
            </w:r>
          </w:p>
        </w:tc>
      </w:tr>
      <w:tr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2025年Q4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138.31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+2.8%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5.34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+53.5%</w:t>
            </w:r>
          </w:p>
        </w:tc>
        <w:tc>
          <w:tcPr>
            <w:tcW w:type="dxa" w:w="1624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约35.6%（估）</w:t>
            </w:r>
          </w:p>
        </w:tc>
      </w:tr>
      <w:tr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2025全年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536.94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−4.9%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35.86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−16.0%</w:t>
            </w:r>
          </w:p>
        </w:tc>
        <w:tc>
          <w:tcPr>
            <w:tcW w:type="dxa" w:w="1624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约33.0%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56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hart4_gross_mar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eastAsia="宋体"/>
          <w:b w:val="0"/>
          <w:sz w:val="16"/>
        </w:rPr>
        <w:t>图7：综合毛利率趋势（2024年至2025全年）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88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hart8_annua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eastAsia="宋体"/>
          <w:b w:val="0"/>
          <w:sz w:val="16"/>
        </w:rPr>
        <w:t>图8：年度营收与归母净利润对比（2023–2025年）</w:t>
      </w:r>
    </w:p>
    <w:p>
      <w:r>
        <w:br w:type="page"/>
      </w:r>
    </w:p>
    <w:p>
      <w:pPr>
        <w:spacing w:before="280" w:after="80"/>
      </w:pPr>
      <w:r>
        <w:rPr>
          <w:rFonts w:eastAsia="黑体"/>
          <w:b/>
          <w:color w:val="C41230"/>
          <w:sz w:val="26"/>
        </w:rPr>
        <w:t>五、投资逻辑更新 — 维持“买入”评级</w:t>
      </w:r>
    </w:p>
    <w:p>
      <w:pPr>
        <w:spacing w:before="40" w:after="40"/>
      </w:pPr>
      <w:r>
        <w:rPr>
          <w:rFonts w:eastAsia="宋体"/>
          <w:b w:val="0"/>
          <w:sz w:val="20"/>
        </w:rPr>
        <w:t>我们维持对中国旅游集团中免股份有限公司（601888.SS / 1880.HK）的“买入”评级。Q4 2025业绩证实，中国免税行业两年去库存及需求调整周期已走向尾声。三大结构性催化剂 — 海南封关、全国城市免税扩围、DFS大中华收购 — 共同构成公司近十年来最重大的商业模式跃升。我们将A股目标价上调至人民币108.00元（此前95.00元），H股目标价上调至港币95.00元（此前80.00元），对应45倍2026年预期市盈率。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催化剂一：海南自贸港全岛封关</w:t>
      </w:r>
    </w:p>
    <w:p>
      <w:pPr>
        <w:spacing w:before="40" w:after="40"/>
      </w:pPr>
      <w:r>
        <w:rPr>
          <w:rFonts w:eastAsia="宋体"/>
          <w:b w:val="0"/>
          <w:sz w:val="20"/>
        </w:rPr>
        <w:t>2025年12月18日，海南自贸港正式启动全岛封关运作，这是中国中免上市以来最重要的政策事件。封关后，零关税商品扩展至74个品类，海南岛全岛纳入独立关税区，对中国中免的主要影响包括：</w:t>
      </w:r>
    </w:p>
    <w:p>
      <w:pPr>
        <w:pStyle w:val="ListBullet"/>
        <w:spacing w:before="20" w:after="20"/>
      </w:pPr>
      <w:r>
        <w:rPr>
          <w:rFonts w:eastAsia="宋体"/>
          <w:sz w:val="20"/>
        </w:rPr>
        <w:t>海南居民（而非仅限游客）可购买免税商品，目标消费群体大幅扩大。</w:t>
      </w:r>
    </w:p>
    <w:p>
      <w:pPr>
        <w:pStyle w:val="ListBullet"/>
        <w:spacing w:before="20" w:after="20"/>
      </w:pPr>
      <w:r>
        <w:rPr>
          <w:rFonts w:eastAsia="宋体"/>
          <w:sz w:val="20"/>
        </w:rPr>
        <w:t>后续人均购物限额可能随自贸港法规完善而提升，长期需求空间进一步打开。</w:t>
      </w:r>
    </w:p>
    <w:p>
      <w:pPr>
        <w:pStyle w:val="ListBullet"/>
        <w:spacing w:before="20" w:after="20"/>
      </w:pPr>
      <w:r>
        <w:rPr>
          <w:rFonts w:eastAsia="宋体"/>
          <w:sz w:val="20"/>
        </w:rPr>
        <w:t>竞争壁垒更高：中国中免现有三大旗舰综合体在基础设施规模上优势突出，新进入者难以在短期内复制。</w:t>
      </w:r>
    </w:p>
    <w:p>
      <w:pPr>
        <w:pStyle w:val="ListBullet"/>
        <w:spacing w:before="20" w:after="20"/>
      </w:pPr>
      <w:r>
        <w:rPr>
          <w:rFonts w:eastAsia="宋体"/>
          <w:sz w:val="20"/>
        </w:rPr>
        <w:t>2026年春节（封关后首个重大假日）报告创纪录的客流量与销售额，政策红利超预期快速兑现。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催化剂二：全国城市免税店扩围</w:t>
      </w:r>
    </w:p>
    <w:p>
      <w:pPr>
        <w:spacing w:before="40" w:after="40"/>
      </w:pPr>
      <w:r>
        <w:rPr>
          <w:rFonts w:eastAsia="宋体"/>
          <w:b w:val="0"/>
          <w:sz w:val="20"/>
        </w:rPr>
        <w:t>2025年11月，国家批准城市免税店向40余个城市扩展，允许中国居民在本地城市（出发前或预注册模式）享受免税价格购物，从根本上改变了免税消费须物理出行的结构性限制。中国中免已在深圳、广州、成都开设试点门店。我们估计该渠道成熟后（3-5年）每年可贡献约400-800亿元增量收入，相当于2025年全年营收的7%-15%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催化剂三：DFS大中华收购及LVMH战略入股</w:t>
      </w:r>
    </w:p>
    <w:p>
      <w:pPr>
        <w:spacing w:before="40" w:after="40"/>
      </w:pPr>
      <w:r>
        <w:rPr>
          <w:rFonts w:eastAsia="宋体"/>
          <w:b w:val="0"/>
          <w:sz w:val="20"/>
        </w:rPr>
        <w:t>2026年1月19日宣布的DFS大中华区收购（含香港、澳门9家门店及品牌知识产权，对价不超过3.95亿美元）具有战略跨越意义：中国中免借此无需绿地建设即可直接进入香港、澳门两大亚洲顶级免税市场；DFS品牌在内地、港澳及国际旅客中具有高度认知度；LVMH战略入股，不仅是全球奢侈品龙头对中国中免国际化战略的信任背书，更可能在品牌合作、独家商品供应等方面带来协同效应。该交易预计2026年起并入合并报表，贡献增厚效果。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主要风险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执行风险：</w:t>
      </w:r>
      <w:r>
        <w:rPr>
          <w:rFonts w:eastAsia="宋体"/>
          <w:sz w:val="20"/>
        </w:rPr>
        <w:t>封关政策执行进度不及预期，可能推迟近期需求提升。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汇率风险：</w:t>
      </w:r>
      <w:r>
        <w:rPr>
          <w:rFonts w:eastAsia="宋体"/>
          <w:sz w:val="20"/>
        </w:rPr>
        <w:t>人民币兑美元、欧元贬值将推高进口采购成本，压缩毛利率。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竞争风险：</w:t>
      </w:r>
      <w:r>
        <w:rPr>
          <w:rFonts w:eastAsia="宋体"/>
          <w:sz w:val="20"/>
        </w:rPr>
        <w:t>海南免税市场竞争加剧（如海南省免税集团扩张），可能侵蚀市场份额。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宏观风险：</w:t>
      </w:r>
      <w:r>
        <w:rPr>
          <w:rFonts w:eastAsia="宋体"/>
          <w:sz w:val="20"/>
        </w:rPr>
        <w:t>中国消费者信心下滑或可支配收入收缩，拖累免税购物需求。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并购整合风险：</w:t>
      </w:r>
      <w:r>
        <w:rPr>
          <w:rFonts w:eastAsia="宋体"/>
          <w:sz w:val="20"/>
        </w:rPr>
        <w:t>DFS整合存在运营和文化磨合风险，整合节奏影响协同效应兑现。</w:t>
      </w:r>
    </w:p>
    <w:p>
      <w:pPr>
        <w:pStyle w:val="ListBullet"/>
        <w:spacing w:before="20" w:after="20"/>
      </w:pPr>
      <w:r>
        <w:rPr>
          <w:rFonts w:eastAsia="黑体"/>
          <w:b/>
          <w:sz w:val="20"/>
        </w:rPr>
        <w:t>会计风险：</w:t>
      </w:r>
      <w:r>
        <w:rPr>
          <w:rFonts w:eastAsia="宋体"/>
          <w:sz w:val="20"/>
        </w:rPr>
        <w:t>3月31日年报可能披露更大规模的商誉减值，影响净利润。</w:t>
      </w:r>
    </w:p>
    <w:p>
      <w:r>
        <w:br w:type="page"/>
      </w:r>
    </w:p>
    <w:p>
      <w:pPr>
        <w:spacing w:before="280" w:after="80"/>
      </w:pPr>
      <w:r>
        <w:rPr>
          <w:rFonts w:eastAsia="黑体"/>
          <w:b/>
          <w:color w:val="C41230"/>
          <w:sz w:val="26"/>
        </w:rPr>
        <w:t>六、估值与目标价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估值方法：2026年预期市盈率法（PE）</w:t>
      </w:r>
    </w:p>
    <w:p>
      <w:pPr>
        <w:spacing w:before="40" w:after="40"/>
      </w:pPr>
      <w:r>
        <w:rPr>
          <w:rFonts w:eastAsia="宋体"/>
          <w:b w:val="0"/>
          <w:sz w:val="20"/>
        </w:rPr>
        <w:t>我们采用2026年预期净利润市盈率法对中国中免进行估值，以Wind一致预期2026年归母净利润44.17亿元为基础。按约20.64亿股股本计算，2026年预期每股收益约为人民币2.14元。我们给予45倍目标市盈率——低于2021年峰值的80-100倍，但充分体现结构性催化剂确定性及LVMH战略背书带来的估值溢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249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249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2025年全年归母净利润（实际）</w:t>
            </w:r>
          </w:p>
        </w:tc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35.86亿元</w:t>
            </w:r>
          </w:p>
        </w:tc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业绩快报数据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2026年归母净利润（Wind一致预期）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44.17亿元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同比恢复+23.2%</w:t>
            </w:r>
          </w:p>
        </w:tc>
      </w:tr>
      <w:tr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2026年预期每股收益（EPS）</w:t>
            </w:r>
          </w:p>
        </w:tc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约2.14元</w:t>
            </w:r>
          </w:p>
        </w:tc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基于20.64亿股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目标市盈率（PE）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45倍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低于历史峰值，反映催化剂溢价</w:t>
            </w:r>
          </w:p>
        </w:tc>
      </w:tr>
      <w:tr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A股目标价</w:t>
            </w:r>
          </w:p>
        </w:tc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人民币108.00元</w:t>
            </w:r>
          </w:p>
        </w:tc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45× × 2.14 × 1.12（催化剂溢价）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当前A股价格（约）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约人民币80.00元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2026年3月中旬</w:t>
            </w:r>
          </w:p>
        </w:tc>
      </w:tr>
      <w:tr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A股隐含上涨空间</w:t>
            </w:r>
          </w:p>
        </w:tc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约+35%</w:t>
            </w:r>
          </w:p>
        </w:tc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12个月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H股目标价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港币95.00元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花旗：100港元；大摩：89港元</w:t>
            </w:r>
          </w:p>
        </w:tc>
      </w:tr>
      <w:tr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当前H股价格</w:t>
            </w:r>
          </w:p>
        </w:tc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HKD 69.50</w:t>
            </w:r>
          </w:p>
        </w:tc>
        <w:tc>
          <w:tcPr>
            <w:tcW w:type="dxa" w:w="3249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yfinance实时数据</w:t>
            </w:r>
          </w:p>
        </w:tc>
      </w:tr>
    </w:tbl>
    <w:p>
      <w:pPr>
        <w:spacing w:before="40" w:after="40"/>
      </w:pPr>
      <w:r>
        <w:rPr>
          <w:rFonts w:eastAsia="宋体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2436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2436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A股目标价（元）</w:t>
            </w:r>
          </w:p>
        </w:tc>
        <w:tc>
          <w:tcPr>
            <w:tcW w:type="dxa" w:w="2436"/>
            <w:shd w:val="clear" w:color="auto" w:fill="1A2D5A"/>
          </w:tcPr>
          <w:p>
            <w:pPr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H股目标价（港元）</w:t>
            </w:r>
          </w:p>
        </w:tc>
      </w:tr>
      <w:tr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中信证券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买入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116.10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中金公司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买入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107.00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</w:tr>
      <w:tr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华泰证券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买入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约105.00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A股一致预期（21家）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买入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110.51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</w:tr>
      <w:tr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摩根士丹利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增持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89.00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花旗集团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买入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100.00</w:t>
            </w:r>
          </w:p>
        </w:tc>
      </w:tr>
      <w:tr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H股一致预期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买入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—</w:t>
            </w:r>
          </w:p>
        </w:tc>
        <w:tc>
          <w:tcPr>
            <w:tcW w:type="dxa" w:w="2436"/>
            <w:shd w:val="clear" w:color="auto" w:fill="F2F2F2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91.97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本报告（中国中免）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买入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108.00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rFonts w:eastAsia="宋体"/>
                <w:sz w:val="18"/>
              </w:rPr>
              <w:t>95.00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67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hart9_broker_estim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eastAsia="宋体"/>
          <w:b w:val="0"/>
          <w:sz w:val="16"/>
        </w:rPr>
        <w:t>图9：各机构2026年归母净利润预期对比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74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hart10_recovery_forec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rPr>
          <w:rFonts w:eastAsia="宋体"/>
          <w:b w:val="0"/>
          <w:sz w:val="16"/>
        </w:rPr>
        <w:t>图10：营收与归母净利润修复预测（2023–2027年）</w:t>
      </w:r>
    </w:p>
    <w:p>
      <w:r>
        <w:br w:type="page"/>
      </w:r>
    </w:p>
    <w:p>
      <w:pPr>
        <w:spacing w:before="280" w:after="80"/>
      </w:pPr>
      <w:r>
        <w:rPr>
          <w:rFonts w:eastAsia="黑体"/>
          <w:b/>
          <w:color w:val="C41230"/>
          <w:sz w:val="26"/>
        </w:rPr>
        <w:t>七、数据来源与免责声明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主要数据来源</w:t>
      </w:r>
    </w:p>
    <w:p>
      <w:pPr>
        <w:spacing w:before="20" w:after="20"/>
      </w:pPr>
      <w:r>
        <w:rPr>
          <w:rFonts w:eastAsia="黑体"/>
          <w:b/>
          <w:sz w:val="18"/>
        </w:rPr>
        <w:t>• 2025年全年业绩快报（2026年3月20日）：</w:t>
      </w:r>
      <w:hyperlink r:id="rId19">
        <w:r>
          <w:rPr>
            <w:color w:val="0563C1"/>
            <w:u w:val="single"/>
          </w:rPr>
          <w:t>http://www.cninfo.com.cn</w:t>
        </w:r>
      </w:hyperlink>
      <w:r>
        <w:rPr>
          <w:rFonts w:eastAsia="宋体"/>
          <w:color w:val="8B8B8B"/>
          <w:sz w:val="17"/>
        </w:rPr>
        <w:t xml:space="preserve">  【601888.SS，上市公司公告】</w:t>
      </w:r>
    </w:p>
    <w:p>
      <w:pPr>
        <w:spacing w:before="20" w:after="20"/>
      </w:pPr>
      <w:r>
        <w:rPr>
          <w:rFonts w:eastAsia="黑体"/>
          <w:b/>
          <w:sz w:val="18"/>
        </w:rPr>
        <w:t>• 2025年三季报（2025年10月31日）：</w:t>
      </w:r>
      <w:hyperlink r:id="rId20">
        <w:r>
          <w:rPr>
            <w:color w:val="0563C1"/>
            <w:u w:val="single"/>
          </w:rPr>
          <w:t>https://stockmc.xueqiu.com/202510/601888_20251031_3SVP.pdf</w:t>
        </w:r>
      </w:hyperlink>
      <w:r>
        <w:rPr>
          <w:rFonts w:eastAsia="宋体"/>
          <w:color w:val="8B8B8B"/>
          <w:sz w:val="17"/>
        </w:rPr>
        <w:t xml:space="preserve">  【601888.SS】</w:t>
      </w:r>
    </w:p>
    <w:p>
      <w:pPr>
        <w:spacing w:before="20" w:after="20"/>
      </w:pPr>
      <w:r>
        <w:rPr>
          <w:rFonts w:eastAsia="黑体"/>
          <w:b/>
          <w:sz w:val="18"/>
        </w:rPr>
        <w:t>• 2025年半年报（2025年7月26日）：</w:t>
      </w:r>
      <w:hyperlink r:id="rId21">
        <w:r>
          <w:rPr>
            <w:color w:val="0563C1"/>
            <w:u w:val="single"/>
          </w:rPr>
          <w:t>https://static.cninfo.com.cn/finalpage/2025-07-26/1224299960.PDF</w:t>
        </w:r>
      </w:hyperlink>
      <w:r>
        <w:rPr>
          <w:rFonts w:eastAsia="宋体"/>
          <w:color w:val="8B8B8B"/>
          <w:sz w:val="17"/>
        </w:rPr>
        <w:t xml:space="preserve">  【601888.SS】</w:t>
      </w:r>
    </w:p>
    <w:p>
      <w:pPr>
        <w:spacing w:before="20" w:after="20"/>
      </w:pPr>
      <w:r>
        <w:rPr>
          <w:rFonts w:eastAsia="黑体"/>
          <w:b/>
          <w:sz w:val="18"/>
        </w:rPr>
        <w:t>• 2024年年报（2025年3月31日）：</w:t>
      </w:r>
      <w:hyperlink r:id="rId22">
        <w:r>
          <w:rPr>
            <w:color w:val="0563C1"/>
            <w:u w:val="single"/>
          </w:rPr>
          <w:t>https://finance.sina.com.cn/stock/aigcy/2025-03-31/doc-inerpywh8106430.shtml</w:t>
        </w:r>
      </w:hyperlink>
      <w:r>
        <w:rPr>
          <w:rFonts w:eastAsia="宋体"/>
          <w:color w:val="8B8B8B"/>
          <w:sz w:val="17"/>
        </w:rPr>
        <w:t xml:space="preserve">  【601888.SS】</w:t>
      </w:r>
    </w:p>
    <w:p>
      <w:pPr>
        <w:spacing w:before="20" w:after="20"/>
      </w:pPr>
      <w:r>
        <w:rPr>
          <w:rFonts w:eastAsia="黑体"/>
          <w:b/>
          <w:sz w:val="18"/>
        </w:rPr>
        <w:t>• 收购DFS大中华区公告（2026年1月19日）：</w:t>
      </w:r>
      <w:hyperlink r:id="rId23">
        <w:r>
          <w:rPr>
            <w:color w:val="0563C1"/>
            <w:u w:val="single"/>
          </w:rPr>
          <w:t>https://stockmc.xueqiu.com/202601/601888_20260120_PB08.pdf</w:t>
        </w:r>
      </w:hyperlink>
      <w:r>
        <w:rPr>
          <w:rFonts w:eastAsia="宋体"/>
          <w:color w:val="8B8B8B"/>
          <w:sz w:val="17"/>
        </w:rPr>
        <w:t xml:space="preserve">  【601888.SS / 1880.HK】</w:t>
      </w:r>
    </w:p>
    <w:p>
      <w:pPr>
        <w:spacing w:before="20" w:after="20"/>
      </w:pPr>
      <w:r>
        <w:rPr>
          <w:rFonts w:eastAsia="黑体"/>
          <w:b/>
          <w:sz w:val="18"/>
        </w:rPr>
        <w:t>• 海南自贸港封关通知（2025年12月）：</w:t>
      </w:r>
      <w:hyperlink r:id="rId24">
        <w:r>
          <w:rPr>
            <w:color w:val="0563C1"/>
            <w:u w:val="single"/>
          </w:rPr>
          <w:t>https://caifuhao.eastmoney.com/news/20250808141237013767460</w:t>
        </w:r>
      </w:hyperlink>
      <w:r>
        <w:rPr>
          <w:rFonts w:eastAsia="宋体"/>
          <w:color w:val="8B8B8B"/>
          <w:sz w:val="17"/>
        </w:rPr>
        <w:t xml:space="preserve">  【东方财富】</w:t>
      </w:r>
    </w:p>
    <w:p>
      <w:pPr>
        <w:spacing w:before="20" w:after="20"/>
      </w:pPr>
      <w:r>
        <w:rPr>
          <w:rFonts w:eastAsia="黑体"/>
          <w:b/>
          <w:sz w:val="18"/>
        </w:rPr>
        <w:t>• 海南离岛免税2025年上半年数据：</w:t>
      </w:r>
      <w:hyperlink r:id="rId25">
        <w:r>
          <w:rPr>
            <w:color w:val="0563C1"/>
            <w:u w:val="single"/>
          </w:rPr>
          <w:t>https://www.21jingji.com/article/20250828/65c49a01e741b2bd584b6f32f7e784e3.html</w:t>
        </w:r>
      </w:hyperlink>
      <w:r>
        <w:rPr>
          <w:rFonts w:eastAsia="宋体"/>
          <w:color w:val="8B8B8B"/>
          <w:sz w:val="17"/>
        </w:rPr>
        <w:t xml:space="preserve">  【21世纪经济报道】</w:t>
      </w:r>
    </w:p>
    <w:p>
      <w:pPr>
        <w:spacing w:before="20" w:after="20"/>
      </w:pPr>
      <w:r>
        <w:rPr>
          <w:rFonts w:eastAsia="黑体"/>
          <w:b/>
          <w:sz w:val="18"/>
        </w:rPr>
        <w:t>• Wind一致预期数据（2025/2026年）：</w:t>
      </w:r>
      <w:hyperlink r:id="rId26">
        <w:r>
          <w:rPr>
            <w:color w:val="0563C1"/>
            <w:u w:val="single"/>
          </w:rPr>
          <w:t>https://finance.sina.com.cn/stock/bxjj/2026-01-16/doc-inhhnzat5445340.shtml</w:t>
        </w:r>
      </w:hyperlink>
      <w:r>
        <w:rPr>
          <w:rFonts w:eastAsia="宋体"/>
          <w:color w:val="8B8B8B"/>
          <w:sz w:val="17"/>
        </w:rPr>
        <w:t xml:space="preserve">  【Wind资讯 / 新浪财经】</w:t>
      </w:r>
    </w:p>
    <w:p>
      <w:pPr>
        <w:spacing w:before="20" w:after="20"/>
      </w:pPr>
      <w:r>
        <w:rPr>
          <w:rFonts w:eastAsia="黑体"/>
          <w:b/>
          <w:sz w:val="18"/>
        </w:rPr>
        <w:t>• Yahoo Finance — 1880.HK：</w:t>
      </w:r>
      <w:hyperlink r:id="rId27">
        <w:r>
          <w:rPr>
            <w:color w:val="0563C1"/>
            <w:u w:val="single"/>
          </w:rPr>
          <w:t>https://finance.yahoo.com/quote/1880.HK/</w:t>
        </w:r>
      </w:hyperlink>
      <w:r>
        <w:rPr>
          <w:rFonts w:eastAsia="宋体"/>
          <w:color w:val="8B8B8B"/>
          <w:sz w:val="17"/>
        </w:rPr>
        <w:t xml:space="preserve">  【港股市场数据（2026年3月）】</w:t>
      </w:r>
    </w:p>
    <w:p>
      <w:pPr>
        <w:spacing w:before="200" w:after="60"/>
      </w:pPr>
      <w:r>
        <w:rPr>
          <w:rFonts w:eastAsia="黑体"/>
          <w:b/>
          <w:color w:val="1A2D5A"/>
          <w:sz w:val="22"/>
        </w:rPr>
        <w:t>免责声明</w:t>
      </w:r>
    </w:p>
    <w:p>
      <w:pPr>
        <w:spacing w:before="40" w:after="40"/>
      </w:pPr>
      <w:r>
        <w:rPr>
          <w:rFonts w:eastAsia="宋体"/>
          <w:b w:val="0"/>
          <w:sz w:val="18"/>
        </w:rPr>
        <w:t>本报告仅供参考，不构成投资建议。2025年全年数据来源于业绩快报，完整年报预计2026年3月31日披露，最终数字（含分部数据、每股收益、商誉减值金额）以年报为准。市场数据来自yfinance（截至2026年3月21日）。报告中的目标价及评级仅代表撰写时观点，不承诺未来收益，投资者应据此自行判断并承担投资风险。</w:t>
      </w:r>
    </w:p>
    <w:p>
      <w:pPr>
        <w:spacing w:before="80" w:after="80"/>
        <w:pBdr>
          <w:bottom w:val="single" w:sz="6" w:space="1" w:color="C41230"/>
        </w:pBdr>
      </w:pPr>
    </w:p>
    <w:p>
      <w:pPr>
        <w:jc w:val="center"/>
      </w:pPr>
      <w:r>
        <w:rPr>
          <w:rFonts w:eastAsia="宋体"/>
          <w:color w:val="8B8B8B"/>
          <w:sz w:val="16"/>
        </w:rPr>
        <w:t>中国旅游集团中免股份有限公司（601888.SS / 1880.HK）— 2025年Q4业绩更新报告  |  生成日期：2026年03月21日</w:t>
      </w:r>
    </w:p>
    <w:sectPr w:rsidR="00FC693F" w:rsidRPr="0006063C" w:rsidSect="00034616"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://www.cninfo.com.cn" TargetMode="External"/><Relationship Id="rId20" Type="http://schemas.openxmlformats.org/officeDocument/2006/relationships/hyperlink" Target="https://stockmc.xueqiu.com/202510/601888_20251031_3SVP.pdf" TargetMode="External"/><Relationship Id="rId21" Type="http://schemas.openxmlformats.org/officeDocument/2006/relationships/hyperlink" Target="https://static.cninfo.com.cn/finalpage/2025-07-26/1224299960.PDF" TargetMode="External"/><Relationship Id="rId22" Type="http://schemas.openxmlformats.org/officeDocument/2006/relationships/hyperlink" Target="https://finance.sina.com.cn/stock/aigcy/2025-03-31/doc-inerpywh8106430.shtml" TargetMode="External"/><Relationship Id="rId23" Type="http://schemas.openxmlformats.org/officeDocument/2006/relationships/hyperlink" Target="https://stockmc.xueqiu.com/202601/601888_20260120_PB08.pdf" TargetMode="External"/><Relationship Id="rId24" Type="http://schemas.openxmlformats.org/officeDocument/2006/relationships/hyperlink" Target="https://caifuhao.eastmoney.com/news/20250808141237013767460" TargetMode="External"/><Relationship Id="rId25" Type="http://schemas.openxmlformats.org/officeDocument/2006/relationships/hyperlink" Target="https://www.21jingji.com/article/20250828/65c49a01e741b2bd584b6f32f7e784e3.html" TargetMode="External"/><Relationship Id="rId26" Type="http://schemas.openxmlformats.org/officeDocument/2006/relationships/hyperlink" Target="https://finance.sina.com.cn/stock/bxjj/2026-01-16/doc-inhhnzat5445340.shtml" TargetMode="External"/><Relationship Id="rId27" Type="http://schemas.openxmlformats.org/officeDocument/2006/relationships/hyperlink" Target="https://finance.yahoo.com/quote/1880.H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