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olor w:val="003366"/>
          <w:sz w:val="30"/>
        </w:rPr>
        <w:t>MORNING NOTE — June 18, 2026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2"/>
        </w:rPr>
        <w:t>Space / Satellite Connectivity / AI Infrastructure</w:t>
      </w:r>
    </w:p>
    <w:p>
      <w:pPr>
        <w:spacing w:after="80" w:before="40"/>
      </w:pPr>
      <w:r>
        <w:rPr>
          <w:rFonts w:ascii="Times New Roman" w:hAnsi="Times New Roman"/>
          <w:b/>
          <w:color w:val="003366"/>
          <w:sz w:val="24"/>
        </w:rPr>
        <w:t>Top Call — SPCX: Don't chase the IPO melt-up; reiterate Market Perform, $150 PT</w:t>
      </w:r>
    </w:p>
    <w:p>
      <w:pPr>
        <w:spacing w:after="160" w:before="0"/>
      </w:pPr>
      <w:r>
        <w:rPr>
          <w:rFonts w:ascii="Times New Roman" w:hAnsi="Times New Roman"/>
          <w:sz w:val="21"/>
        </w:rPr>
        <w:t>SpaceX has run to $191.82 (mkt cap ~$2.53T), up +19% since our June 14 initiation at $161 and +42% off the $135 IPO price. The move has pushed the stock to ~113x trailing sales (vs. 94x at the IPO print) — richer, on no new fundamental data since the S-1. Our $150 PT now implies ~22% downside. We are not buyers here; we'd fade strength / trim into the momentum.</w:t>
      </w:r>
    </w:p>
    <w:p>
      <w:pPr>
        <w:spacing w:after="80" w:before="40"/>
      </w:pPr>
      <w:r>
        <w:rPr>
          <w:rFonts w:ascii="Times New Roman" w:hAnsi="Times New Roman"/>
          <w:b/>
          <w:color w:val="003366"/>
          <w:sz w:val="22"/>
        </w:rPr>
        <w:t>Coverage Snapshot (live quotes)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003366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Last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Mkt Cap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52-Wk Range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Role / Read-Through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SPCX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$191.82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$2.53T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$149.34–$225.64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Focus name — space + Starlink + xAI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RKLB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$107.98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$67B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$27.84–$151.0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Listed space pure-play; cleanest peer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NBIS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$280.91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$71B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$43.89–$297.93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AI-neocloud comp for xAI/Colossus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NVDA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$204.65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$4.96T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$142.03–$236.54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GPU supplier to Colossus buildout</w:t>
            </w:r>
          </w:p>
        </w:tc>
      </w:tr>
    </w:tbl>
    <w:p>
      <w:pPr>
        <w:spacing w:after="80"/>
      </w:pPr>
      <w:r>
        <w:rPr>
          <w:rFonts w:ascii="Times New Roman" w:hAnsi="Times New Roman"/>
          <w:i/>
          <w:color w:val="757575"/>
          <w:sz w:val="16"/>
        </w:rPr>
        <w:t>Source: yfinance live quotes (intraday). SPCX fundamentals per S-1 / our June 14 initiation.</w:t>
      </w:r>
    </w:p>
    <w:p>
      <w:pPr>
        <w:spacing w:after="40" w:before="0"/>
      </w:pPr>
      <w:r>
        <w:rPr>
          <w:rFonts w:ascii="Times New Roman" w:hAnsi="Times New Roman"/>
          <w:sz w:val="22"/>
        </w:rPr>
      </w:r>
    </w:p>
    <w:p>
      <w:pPr>
        <w:spacing w:after="80" w:before="40"/>
      </w:pPr>
      <w:r>
        <w:rPr>
          <w:rFonts w:ascii="Times New Roman" w:hAnsi="Times New Roman"/>
          <w:b/>
          <w:color w:val="003366"/>
          <w:sz w:val="22"/>
        </w:rPr>
        <w:t>Overnight / Pre-Market Developments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SPCX: </w:t>
      </w:r>
      <w:r>
        <w:rPr>
          <w:rFonts w:ascii="Times New Roman" w:hAnsi="Times New Roman"/>
          <w:sz w:val="21"/>
        </w:rPr>
        <w:t>No new disclosure — pure momentum / scarcity bid post-IPO (first listed space+AI mega-cap; likely index-inclusion speculation). Thesis unchanged: Starlink is the crown jewel ($3.3B rev, $1.2B op profit, 10.3M subs), but xAI is burning $(2.5)B/qtr and consolidated FCF was $(9.1)B in Q1. Higher price, same risk.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RKLB: </w:t>
      </w:r>
      <w:r>
        <w:rPr>
          <w:rFonts w:ascii="Times New Roman" w:hAnsi="Times New Roman"/>
          <w:sz w:val="21"/>
        </w:rPr>
        <w:t>($107.98, ~$67B) Closest listed space pure-play; off its 52-wk high but a multi-bagger YoY. Trades clean — launch + Space Systems, no AI cash-burn drag. Best vehicle for space exposure without SPCX's xAI tax.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NBIS: </w:t>
      </w:r>
      <w:r>
        <w:rPr>
          <w:rFonts w:ascii="Times New Roman" w:hAnsi="Times New Roman"/>
          <w:sz w:val="21"/>
        </w:rPr>
        <w:t>($280.91, ~$71B) AI-neocloud comp near 52-wk highs. Read-through is two-sided — validates the value investors ascribe to xAI/Colossus infra, but also flags how crowded and capital-intensive that race is (AWS/Azure/GCP/CoreWeave).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NVDA: </w:t>
      </w:r>
      <w:r>
        <w:rPr>
          <w:rFonts w:ascii="Times New Roman" w:hAnsi="Times New Roman"/>
          <w:sz w:val="21"/>
        </w:rPr>
        <w:t>($204.65, ~$4.96T) Direct beneficiary of xAI's Colossus buildout (220K GPUs, $7.7B of SPCX's Q1 capex). SPCX's ~$40B annualized capex run-rate is incremental confirmation of sustained accelerator demand.</w:t>
      </w:r>
    </w:p>
    <w:p>
      <w:pPr>
        <w:spacing w:after="80" w:before="40"/>
      </w:pPr>
      <w:r>
        <w:rPr>
          <w:rFonts w:ascii="Times New Roman" w:hAnsi="Times New Roman"/>
          <w:b/>
          <w:color w:val="003366"/>
          <w:sz w:val="22"/>
        </w:rPr>
        <w:t>Key Events / Watch Items Today</w:t>
      </w:r>
    </w:p>
    <w:p>
      <w:pPr>
        <w:pStyle w:val="ListBullet"/>
        <w:spacing w:after="100"/>
      </w:pPr>
      <w:r>
        <w:rPr>
          <w:rFonts w:ascii="Times New Roman" w:hAnsi="Times New Roman"/>
          <w:sz w:val="21"/>
        </w:rPr>
        <w:t>No coverage earnings scheduled. Monitor SPCX for first-week-of-trading volatility and early sell-side initiations (could add to the momentum).</w:t>
      </w:r>
    </w:p>
    <w:p>
      <w:pPr>
        <w:pStyle w:val="ListBullet"/>
        <w:spacing w:after="100"/>
      </w:pPr>
      <w:r>
        <w:rPr>
          <w:rFonts w:ascii="Times New Roman" w:hAnsi="Times New Roman"/>
          <w:sz w:val="21"/>
        </w:rPr>
        <w:t>Thesis monitors: (1) Starlink ARPU (already -33% to $66/mo) and (2) xAI burn vs. the ~2yr runway from ~$75B IPO proceeds.</w:t>
      </w:r>
    </w:p>
    <w:p>
      <w:pPr>
        <w:spacing w:after="80" w:before="80"/>
      </w:pPr>
      <w:r>
        <w:rPr>
          <w:rFonts w:ascii="Times New Roman" w:hAnsi="Times New Roman"/>
          <w:b/>
          <w:color w:val="003366"/>
          <w:sz w:val="22"/>
        </w:rPr>
        <w:t>Trade Ideas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Trim / Avoid SPCX into strength: </w:t>
      </w:r>
      <w:r>
        <w:rPr>
          <w:rFonts w:ascii="Times New Roman" w:hAnsi="Times New Roman"/>
          <w:sz w:val="21"/>
        </w:rPr>
        <w:t>PT $150 = ~22% downside. The IPO pop has priced optimistic scenarios; near-term EPS visibility is capped by the xAI investment cycle. Risk: momentum + potential index inclusion + another Starlink sub/ARPU beat can extend the squeeze — this is a valuation call, not a fundamental short.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Relative value: Long RKLB / Short SPCX (pairs): </w:t>
      </w:r>
      <w:r>
        <w:rPr>
          <w:rFonts w:ascii="Times New Roman" w:hAnsi="Times New Roman"/>
          <w:sz w:val="21"/>
        </w:rPr>
        <w:t>Own listed space growth without the ~$(10)B/yr xAI annualized loss and 85% Musk voting overhang. Risk: RKLB is itself richly valued and far smaller scale; SPCX's Starlink cash engine has no peer.</w:t>
      </w:r>
    </w:p>
    <w:p>
      <w:pPr>
        <w:spacing w:after="140"/>
      </w:pPr>
      <w:r>
        <w:rPr>
          <w:rFonts w:ascii="Times New Roman" w:hAnsi="Times New Roman"/>
          <w:b/>
          <w:color w:val="003366"/>
          <w:sz w:val="21"/>
        </w:rPr>
        <w:t xml:space="preserve">NVDA read-through (no action): </w:t>
      </w:r>
      <w:r>
        <w:rPr>
          <w:rFonts w:ascii="Times New Roman" w:hAnsi="Times New Roman"/>
          <w:sz w:val="21"/>
        </w:rPr>
        <w:t>SPCX capex disclosure reinforces the AI-capex tape; constructive at the margin for NVDA already under coverage.</w:t>
      </w:r>
    </w:p>
    <w:p>
      <w:pPr>
        <w:spacing w:after="40" w:before="0"/>
      </w:pPr>
      <w:r>
        <w:rPr>
          <w:rFonts w:ascii="Times New Roman" w:hAnsi="Times New Roman"/>
          <w:sz w:val="22"/>
        </w:rPr>
      </w:r>
    </w:p>
    <w:p>
      <w:pPr>
        <w:spacing w:after="80"/>
      </w:pPr>
      <w:r>
        <w:rPr>
          <w:rFonts w:ascii="Times New Roman" w:hAnsi="Times New Roman"/>
          <w:i/>
          <w:color w:val="757575"/>
          <w:sz w:val="16"/>
        </w:rPr>
        <w:t>Written pre-open 6/18; SPCX quote is live and moving — levels may shift by the bell. For internal discussion only; not investment advice.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