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 w:eastAsia="黑体"/>
          <w:b/>
          <w:color w:val="003366"/>
          <w:sz w:val="30"/>
        </w:rPr>
        <w:t>晨会纪要 — 2026年6月18日</w:t>
      </w:r>
    </w:p>
    <w:p>
      <w:pPr>
        <w:spacing w:after="160" w:before="0"/>
        <w:jc w:val="center"/>
      </w:pPr>
      <w:r>
        <w:rPr>
          <w:rFonts w:ascii="Times New Roman" w:hAnsi="Times New Roman" w:eastAsia="黑体"/>
          <w:b/>
          <w:sz w:val="22"/>
        </w:rPr>
        <w:t>航天 / 卫星互联 / AI算力基础设施</w:t>
      </w:r>
    </w:p>
    <w:p>
      <w:pPr>
        <w:spacing w:after="80" w:before="40"/>
      </w:pPr>
      <w:r>
        <w:rPr>
          <w:rFonts w:ascii="Times New Roman" w:hAnsi="Times New Roman" w:eastAsia="黑体"/>
          <w:b/>
          <w:color w:val="003366"/>
          <w:sz w:val="24"/>
        </w:rPr>
        <w:t>首要观点 — SPCX：勿追IPO逼空行情，维持「市场表现（Market Perform）」评级，目标价150美元</w:t>
      </w:r>
    </w:p>
    <w:p>
      <w:pPr>
        <w:spacing w:after="160" w:before="0"/>
      </w:pPr>
      <w:r>
        <w:rPr>
          <w:rFonts w:ascii="Times New Roman" w:hAnsi="Times New Roman" w:eastAsia="宋体"/>
          <w:sz w:val="21"/>
        </w:rPr>
        <w:t>SpaceX股价已升至$191.82（市值约2.53万亿美元），较我们6月14日按161美元给出的首次评级上涨+19%，较135美元的IPO发行价上涨+42%。本轮上涨将估值推升至约113倍市销率（IPO定价时为94倍）——在S-1之后并无新的基本面数据出炉的情况下估值更贵了。我们150美元的目标价目前隐含约22%的下行空间。当前点位我们不建议买入，倾向于在上涨中减持/逢高了结。</w:t>
      </w:r>
    </w:p>
    <w:p>
      <w:pPr>
        <w:spacing w:after="80" w:before="40"/>
      </w:pPr>
      <w:r>
        <w:rPr>
          <w:rFonts w:ascii="Times New Roman" w:hAnsi="Times New Roman" w:eastAsia="黑体"/>
          <w:b/>
          <w:color w:val="003366"/>
          <w:sz w:val="22"/>
        </w:rPr>
        <w:t>覆盖范围行情快照（实时报价）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003366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1949"/>
            <w:shd w:fill="003366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最新价</w:t>
            </w:r>
          </w:p>
        </w:tc>
        <w:tc>
          <w:tcPr>
            <w:tcW w:type="dxa" w:w="1949"/>
            <w:shd w:fill="003366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市值</w:t>
            </w:r>
          </w:p>
        </w:tc>
        <w:tc>
          <w:tcPr>
            <w:tcW w:type="dxa" w:w="1949"/>
            <w:shd w:fill="003366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52周区间</w:t>
            </w:r>
          </w:p>
        </w:tc>
        <w:tc>
          <w:tcPr>
            <w:tcW w:type="dxa" w:w="1949"/>
            <w:shd w:fill="003366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角色 / 关联解读</w:t>
            </w:r>
          </w:p>
        </w:tc>
      </w:tr>
      <w:tr>
        <w:tc>
          <w:tcPr>
            <w:tcW w:type="dxa" w:w="1949"/>
          </w:tcPr>
          <w:p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8"/>
              </w:rPr>
              <w:t>SPCX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8"/>
              </w:rPr>
              <w:t>$191.82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8"/>
              </w:rPr>
              <w:t>2.53万亿美元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8"/>
              </w:rPr>
              <w:t>$149.34–$225.64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8"/>
              </w:rPr>
              <w:t>重点标的——航天+星链+xAI</w:t>
            </w:r>
          </w:p>
        </w:tc>
      </w:tr>
      <w:tr>
        <w:tc>
          <w:tcPr>
            <w:tcW w:type="dxa" w:w="1949"/>
          </w:tcPr>
          <w:p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8"/>
              </w:rPr>
              <w:t>RKLB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8"/>
              </w:rPr>
              <w:t>$107.98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8"/>
              </w:rPr>
              <w:t>67亿美元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8"/>
              </w:rPr>
              <w:t>$27.84–$151.0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8"/>
              </w:rPr>
              <w:t>上市的纯航天标的；最干净的可比</w:t>
            </w:r>
          </w:p>
        </w:tc>
      </w:tr>
      <w:tr>
        <w:tc>
          <w:tcPr>
            <w:tcW w:type="dxa" w:w="1949"/>
          </w:tcPr>
          <w:p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8"/>
              </w:rPr>
              <w:t>NBIS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8"/>
              </w:rPr>
              <w:t>$280.91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8"/>
              </w:rPr>
              <w:t>71亿美元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8"/>
              </w:rPr>
              <w:t>$43.89–$297.93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8"/>
              </w:rPr>
              <w:t>xAI/Colossus的AI云可比标的</w:t>
            </w:r>
          </w:p>
        </w:tc>
      </w:tr>
      <w:tr>
        <w:tc>
          <w:tcPr>
            <w:tcW w:type="dxa" w:w="1949"/>
          </w:tcPr>
          <w:p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8"/>
              </w:rPr>
              <w:t>NVDA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8"/>
              </w:rPr>
              <w:t>$204.65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8"/>
              </w:rPr>
              <w:t>4.96万亿美元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8"/>
              </w:rPr>
              <w:t>$142.03–$236.54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8"/>
              </w:rPr>
              <w:t>Colossus建设的GPU供应商</w:t>
            </w:r>
          </w:p>
        </w:tc>
      </w:tr>
    </w:tbl>
    <w:p>
      <w:pPr>
        <w:spacing w:after="80"/>
      </w:pPr>
      <w:r>
        <w:rPr>
          <w:rFonts w:ascii="Times New Roman" w:hAnsi="Times New Roman" w:eastAsia="宋体"/>
          <w:i/>
          <w:color w:val="757575"/>
          <w:sz w:val="16"/>
        </w:rPr>
        <w:t>资料来源：yfinance 实时报价（盘中）。SPCX基本面数据来自S-1招股书 / 我们6月14日的首次评级报告。</w:t>
      </w:r>
    </w:p>
    <w:p>
      <w:pPr>
        <w:spacing w:after="40" w:before="0"/>
      </w:pPr>
      <w:r>
        <w:rPr>
          <w:rFonts w:ascii="Times New Roman" w:hAnsi="Times New Roman" w:eastAsia="宋体"/>
          <w:sz w:val="22"/>
        </w:rPr>
      </w:r>
    </w:p>
    <w:p>
      <w:pPr>
        <w:spacing w:after="80" w:before="40"/>
      </w:pPr>
      <w:r>
        <w:rPr>
          <w:rFonts w:ascii="Times New Roman" w:hAnsi="Times New Roman" w:eastAsia="黑体"/>
          <w:b/>
          <w:color w:val="003366"/>
          <w:sz w:val="22"/>
        </w:rPr>
        <w:t>隔夜 / 盘前动态</w:t>
      </w:r>
    </w:p>
    <w:p>
      <w:pPr>
        <w:spacing w:after="140"/>
      </w:pPr>
      <w:r>
        <w:rPr>
          <w:rFonts w:ascii="Times New Roman" w:hAnsi="Times New Roman" w:eastAsia="黑体"/>
          <w:b/>
          <w:color w:val="003366"/>
          <w:sz w:val="21"/>
        </w:rPr>
        <w:t>SPCX：</w:t>
      </w:r>
      <w:r>
        <w:rPr>
          <w:rFonts w:ascii="Times New Roman" w:hAnsi="Times New Roman" w:eastAsia="宋体"/>
          <w:sz w:val="21"/>
        </w:rPr>
        <w:t>无新增披露——纯粹是IPO后的动量/稀缺性买盘（首只上市的航天+AI巨型市值标的；可能存在指数纳入预期炒作）。投资逻辑不变：星链是皇冠上的明珠（营收33亿美元、经营利润12亿美元、订户1030万），但xAI每季度烧钱(25)亿美元，且Q1合并自由现金流为(91)亿美元。价格更高，风险照旧。</w:t>
      </w:r>
    </w:p>
    <w:p>
      <w:pPr>
        <w:spacing w:after="140"/>
      </w:pPr>
      <w:r>
        <w:rPr>
          <w:rFonts w:ascii="Times New Roman" w:hAnsi="Times New Roman" w:eastAsia="黑体"/>
          <w:b/>
          <w:color w:val="003366"/>
          <w:sz w:val="21"/>
        </w:rPr>
        <w:t>RKLB：</w:t>
      </w:r>
      <w:r>
        <w:rPr>
          <w:rFonts w:ascii="Times New Roman" w:hAnsi="Times New Roman" w:eastAsia="宋体"/>
          <w:sz w:val="21"/>
        </w:rPr>
        <w:t>（$107.98，约67亿美元）最接近的上市纯航天标的；已从52周高点回落，但年内仍是数倍涨幅。业务干净——发射+航天系统，无AI烧钱拖累。是在不承担SPCX「xAI税负」前提下获取航天敞口的最佳载体。</w:t>
      </w:r>
    </w:p>
    <w:p>
      <w:pPr>
        <w:spacing w:after="140"/>
      </w:pPr>
      <w:r>
        <w:rPr>
          <w:rFonts w:ascii="Times New Roman" w:hAnsi="Times New Roman" w:eastAsia="黑体"/>
          <w:b/>
          <w:color w:val="003366"/>
          <w:sz w:val="21"/>
        </w:rPr>
        <w:t>NBIS：</w:t>
      </w:r>
      <w:r>
        <w:rPr>
          <w:rFonts w:ascii="Times New Roman" w:hAnsi="Times New Roman" w:eastAsia="宋体"/>
          <w:sz w:val="21"/>
        </w:rPr>
        <w:t>（$280.91，约71亿美元）AI云可比标的，逼近52周高点。关联解读是双向的——既印证了投资者赋予xAI/Colossus基础设施的价值，也暴露出这条赛道的拥挤与高资本开支（AWS/Azure/GCP/CoreWeave）。</w:t>
      </w:r>
    </w:p>
    <w:p>
      <w:pPr>
        <w:spacing w:after="140"/>
      </w:pPr>
      <w:r>
        <w:rPr>
          <w:rFonts w:ascii="Times New Roman" w:hAnsi="Times New Roman" w:eastAsia="黑体"/>
          <w:b/>
          <w:color w:val="003366"/>
          <w:sz w:val="21"/>
        </w:rPr>
        <w:t>NVDA：</w:t>
      </w:r>
      <w:r>
        <w:rPr>
          <w:rFonts w:ascii="Times New Roman" w:hAnsi="Times New Roman" w:eastAsia="宋体"/>
          <w:sz w:val="21"/>
        </w:rPr>
        <w:t>（$204.65，约4.96万亿美元）xAI的Colossus建设（22万张GPU、占SPCX一季度资本开支77亿美元）的直接受益方。SPCX年化约400亿美元的资本开支节奏，是对加速卡需求持续旺盛的边际印证。</w:t>
      </w:r>
    </w:p>
    <w:p>
      <w:pPr>
        <w:spacing w:after="80" w:before="40"/>
      </w:pPr>
      <w:r>
        <w:rPr>
          <w:rFonts w:ascii="Times New Roman" w:hAnsi="Times New Roman" w:eastAsia="黑体"/>
          <w:b/>
          <w:color w:val="003366"/>
          <w:sz w:val="22"/>
        </w:rPr>
        <w:t>今日关键事件 / 关注要点</w:t>
      </w:r>
    </w:p>
    <w:p>
      <w:pPr>
        <w:pStyle w:val="ListBullet"/>
        <w:spacing w:after="100"/>
      </w:pPr>
      <w:r>
        <w:rPr>
          <w:rFonts w:ascii="Times New Roman" w:hAnsi="Times New Roman" w:eastAsia="宋体"/>
          <w:sz w:val="21"/>
        </w:rPr>
        <w:t>覆盖标的无业绩发布安排。关注SPCX上市首周的波动，以及卖方早期首次评级（可能进一步助推动量行情）。</w:t>
      </w:r>
    </w:p>
    <w:p>
      <w:pPr>
        <w:pStyle w:val="ListBullet"/>
        <w:spacing w:after="100"/>
      </w:pPr>
      <w:r>
        <w:rPr>
          <w:rFonts w:ascii="Times New Roman" w:hAnsi="Times New Roman" w:eastAsia="宋体"/>
          <w:sz w:val="21"/>
        </w:rPr>
        <w:t>投资逻辑监控项：(1) 星链ARPU（已下滑33%至66美元/月）；(2) xAI烧钱速度 vs. 约750亿美元IPO募资所支撑的约两年现金跑道。</w:t>
      </w:r>
    </w:p>
    <w:p>
      <w:pPr>
        <w:spacing w:after="80" w:before="80"/>
      </w:pPr>
      <w:r>
        <w:rPr>
          <w:rFonts w:ascii="Times New Roman" w:hAnsi="Times New Roman" w:eastAsia="黑体"/>
          <w:b/>
          <w:color w:val="003366"/>
          <w:sz w:val="22"/>
        </w:rPr>
        <w:t>交易思路</w:t>
      </w:r>
    </w:p>
    <w:p>
      <w:pPr>
        <w:spacing w:after="140"/>
      </w:pPr>
      <w:r>
        <w:rPr>
          <w:rFonts w:ascii="Times New Roman" w:hAnsi="Times New Roman" w:eastAsia="黑体"/>
          <w:b/>
          <w:color w:val="003366"/>
          <w:sz w:val="21"/>
        </w:rPr>
        <w:t>逢高减持 / 回避 SPCX：</w:t>
      </w:r>
      <w:r>
        <w:rPr>
          <w:rFonts w:ascii="Times New Roman" w:hAnsi="Times New Roman" w:eastAsia="宋体"/>
          <w:sz w:val="21"/>
        </w:rPr>
        <w:t>目标价150美元 = 约22%下行空间。IPO跳涨已计入乐观情景；受xAI投资周期拖累，近端每股盈利可见度有限。风险：动量+潜在指数纳入+星链订户/ARPU再超预期，均可能延续逼空——这是估值层面的判断，而非基本面层面的做空。</w:t>
      </w:r>
    </w:p>
    <w:p>
      <w:pPr>
        <w:spacing w:after="140"/>
      </w:pPr>
      <w:r>
        <w:rPr>
          <w:rFonts w:ascii="Times New Roman" w:hAnsi="Times New Roman" w:eastAsia="黑体"/>
          <w:b/>
          <w:color w:val="003366"/>
          <w:sz w:val="21"/>
        </w:rPr>
        <w:t>相对价值：做多RKLB / 做空SPCX（配对交易）：</w:t>
      </w:r>
      <w:r>
        <w:rPr>
          <w:rFonts w:ascii="Times New Roman" w:hAnsi="Times New Roman" w:eastAsia="宋体"/>
          <w:sz w:val="21"/>
        </w:rPr>
        <w:t>在不承担xAI年化约(100)亿美元亏损与马斯克85%投票权治理隐忧的前提下，持有上市的航天成长性。风险：RKLB自身估值亦不便宜且体量小得多；SPCX的星链现金引擎无可比拟。</w:t>
      </w:r>
    </w:p>
    <w:p>
      <w:pPr>
        <w:spacing w:after="140"/>
      </w:pPr>
      <w:r>
        <w:rPr>
          <w:rFonts w:ascii="Times New Roman" w:hAnsi="Times New Roman" w:eastAsia="黑体"/>
          <w:b/>
          <w:color w:val="003366"/>
          <w:sz w:val="21"/>
        </w:rPr>
        <w:t>NVDA关联解读（暂不操作）：</w:t>
      </w:r>
      <w:r>
        <w:rPr>
          <w:rFonts w:ascii="Times New Roman" w:hAnsi="Times New Roman" w:eastAsia="宋体"/>
          <w:sz w:val="21"/>
        </w:rPr>
        <w:t>SPCX的资本开支披露强化了AI资本开支景气度；对已在覆盖范围内的NVDA构成边际利好。</w:t>
      </w:r>
    </w:p>
    <w:p>
      <w:pPr>
        <w:spacing w:after="40" w:before="0"/>
      </w:pPr>
      <w:r>
        <w:rPr>
          <w:rFonts w:ascii="Times New Roman" w:hAnsi="Times New Roman" w:eastAsia="宋体"/>
          <w:sz w:val="22"/>
        </w:rPr>
      </w:r>
    </w:p>
    <w:p>
      <w:pPr>
        <w:spacing w:after="80"/>
      </w:pPr>
      <w:r>
        <w:rPr>
          <w:rFonts w:ascii="Times New Roman" w:hAnsi="Times New Roman" w:eastAsia="宋体"/>
          <w:i/>
          <w:color w:val="757575"/>
          <w:sz w:val="16"/>
        </w:rPr>
        <w:t>本纪要撰写于6月18日开盘前；SPCX为实时报价并在变动中——开盘后点位可能变化。仅供内部讨论，不构成投资建议。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