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C1C4D"/>
          <w:sz w:val="44"/>
        </w:rPr>
        <w:t>ADOBE INC.  (ADBE: NASDAQ)</w:t>
      </w:r>
    </w:p>
    <w:p>
      <w:pPr>
        <w:spacing w:after="120"/>
      </w:pPr>
      <w:r>
        <w:rPr>
          <w:rFonts w:ascii="黑体" w:hAnsi="黑体" w:eastAsia="黑体"/>
          <w:color w:val="8E8E93"/>
          <w:sz w:val="20"/>
        </w:rPr>
        <w:t>股票研究  |  应用软件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8E8E93"/>
                <w:sz w:val="16"/>
              </w:rPr>
              <w:t>评级</w:t>
              <w:br/>
            </w:r>
            <w:r>
              <w:rPr>
                <w:rFonts w:ascii="Calibri" w:hAnsi="Calibri"/>
                <w:b/>
                <w:color w:val="1E8A44"/>
                <w:sz w:val="20"/>
              </w:rPr>
              <w:t>买入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8E8E93"/>
                <w:sz w:val="16"/>
              </w:rPr>
              <w:t>目标价</w:t>
              <w:br/>
            </w:r>
            <w:r>
              <w:rPr>
                <w:rFonts w:ascii="Calibri" w:hAnsi="Calibri"/>
                <w:b/>
                <w:color w:val="1473E6"/>
                <w:sz w:val="20"/>
              </w:rPr>
              <w:t>$325.00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8E8E93"/>
                <w:sz w:val="16"/>
              </w:rPr>
              <w:t>当前价</w:t>
              <w:br/>
            </w:r>
            <w:r>
              <w:rPr>
                <w:rFonts w:ascii="Calibri" w:hAnsi="Calibri"/>
                <w:b/>
                <w:color w:val="1C1C4D"/>
                <w:sz w:val="20"/>
              </w:rPr>
              <w:t>$236.56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8E8E93"/>
                <w:sz w:val="16"/>
              </w:rPr>
              <w:t>52周区间</w:t>
              <w:br/>
            </w:r>
            <w:r>
              <w:rPr>
                <w:rFonts w:ascii="Calibri" w:hAnsi="Calibri"/>
                <w:b/>
                <w:color w:val="8E8E93"/>
                <w:sz w:val="20"/>
              </w:rPr>
              <w:t>$224.13 – $422.95</w:t>
            </w:r>
          </w:p>
        </w:tc>
        <w:tc>
          <w:tcPr>
            <w:tcW w:type="dxa" w:w="1872"/>
            <w:shd w:val="clear" w:color="auto" w:fill="F0F4FF"/>
            <w:tcBorders>
              <w:top w:val="single" w:sz="4" w:space="0" w:color="D0D8F0"/>
              <w:bottom w:val="single" w:sz="4" w:space="0" w:color="D0D8F0"/>
              <w:left w:val="single" w:sz="4" w:space="0" w:color="D0D8F0"/>
              <w:right w:val="single" w:sz="4" w:space="0" w:color="D0D8F0"/>
            </w:tcBorders>
          </w:tcPr>
          <w:p>
            <w:pPr>
              <w:jc w:val="center"/>
            </w:pPr>
            <w:r>
              <w:rPr>
                <w:rFonts w:ascii="Calibri" w:hAnsi="Calibri"/>
                <w:color w:val="8E8E93"/>
                <w:sz w:val="16"/>
              </w:rPr>
              <w:t>市值</w:t>
              <w:br/>
            </w:r>
            <w:r>
              <w:rPr>
                <w:rFonts w:ascii="Calibri" w:hAnsi="Calibri"/>
                <w:b/>
                <w:color w:val="1C1C4D"/>
                <w:sz w:val="20"/>
              </w:rPr>
              <w:t>$95.6B</w:t>
            </w:r>
          </w:p>
        </w:tc>
      </w:tr>
    </w:tbl>
    <w:p>
      <w:pPr>
        <w:spacing w:after="80"/>
      </w:pPr>
    </w:p>
    <w:p>
      <w:pPr>
        <w:pBdr>
          <w:bottom w:val="single" w:sz="4" w:space="1" w:color="CCCCCC"/>
        </w:pBdr>
        <w:spacing w:after="160"/>
      </w:pPr>
    </w:p>
    <w:p>
      <w:pPr>
        <w:spacing w:after="60"/>
      </w:pPr>
      <w:r>
        <w:rPr>
          <w:rFonts w:ascii="黑体" w:hAnsi="黑体" w:eastAsia="黑体"/>
          <w:b/>
          <w:color w:val="1C1C4D"/>
          <w:sz w:val="28"/>
        </w:rPr>
        <w:t>2026财年第一季度业绩更新：营收与每股收益均超预期；AI优先ARR三倍增长，CEO宣布交接计划</w:t>
      </w:r>
    </w:p>
    <w:p>
      <w:pPr>
        <w:spacing w:after="160"/>
      </w:pPr>
      <w:r>
        <w:rPr>
          <w:rFonts w:ascii="宋体" w:hAnsi="宋体" w:eastAsia="宋体"/>
          <w:color w:val="8E8E93"/>
          <w:sz w:val="17"/>
        </w:rPr>
        <w:t>报告日期: 2026年5月13日  |  业绩发布: 2026年3月12日  |  财季截止: 2026年2月27日</w:t>
      </w:r>
    </w:p>
    <w:p>
      <w:pPr>
        <w:pBdr>
          <w:bottom w:val="single" w:sz="4" w:space="1" w:color="CCCCCC"/>
        </w:pBdr>
        <w:spacing w:after="160"/>
      </w:pP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业绩摘要</w:t>
      </w:r>
    </w:p>
    <w:p>
      <w:pPr>
        <w:spacing w:after="80"/>
      </w:pPr>
      <w:r>
        <w:rPr>
          <w:rFonts w:ascii="宋体" w:hAnsi="宋体" w:eastAsia="宋体"/>
          <w:b/>
          <w:i w:val="0"/>
          <w:color w:val="1E8A44"/>
          <w:sz w:val="20"/>
        </w:rPr>
        <w:t>2026财年第一季度业绩：超预期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实际值</w:t>
            </w:r>
          </w:p>
        </w:tc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市场预期</w:t>
            </w:r>
          </w:p>
        </w:tc>
        <w:tc>
          <w:tcPr>
            <w:tcW w:type="dxa" w:w="2736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差异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$64.0亿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$62.8亿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+$1.2亿 (+1.9%)</w:t>
            </w:r>
          </w:p>
        </w:tc>
      </w:tr>
      <w:tr>
        <w:tc>
          <w:tcPr>
            <w:tcW w:type="dxa" w:w="288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非GAAP每股收益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$6.06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$5.87</w:t>
            </w:r>
          </w:p>
        </w:tc>
        <w:tc>
          <w:tcPr>
            <w:tcW w:type="dxa" w:w="273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+$0.19 (+3.2%)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GAAP每股收益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$4.60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$4.45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+$0.15 (+3.4%)</w:t>
            </w:r>
          </w:p>
        </w:tc>
      </w:tr>
      <w:tr>
        <w:tc>
          <w:tcPr>
            <w:tcW w:type="dxa" w:w="288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毛利率（GAAP）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89.6%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89.2%</w:t>
            </w:r>
          </w:p>
        </w:tc>
        <w:tc>
          <w:tcPr>
            <w:tcW w:type="dxa" w:w="2736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+40个基点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非GAAP营业利润率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47.4%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+40个基点</w:t>
            </w:r>
          </w:p>
        </w:tc>
      </w:tr>
    </w:tbl>
    <w:p/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核心要点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■ 营收64.0亿美元，超市场预期1.2亿美元（+1.9%），同比增长12%（恒定汇率下增长11%）。增长主要由订阅收入同比增长13%至61.7亿美元驱动，其中商业专业人士与消费者订阅收入同比加速增长16%至17.8亿美元，创意与营销专业人士订阅收入同比增长12%至43.9亿美元。超预期表现覆盖全部客户群体，反映出AI驱动的持续采纳趋势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■ 非GAAP每股收益6.06美元，超市场预期0.19美元，同比增长19%。优异表现源于营收端增长与利润率扩张双重驱动——非GAAP营业利润率同比扩张120个基点至47.4%。GAAP毛利率同比提升50个基点至89.6%，彰显Adobe订阅模式固有的规模效应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■ AI优先ARR同比增长超过3倍，总ARR达260.6亿美元（+10.9%）。月活跃用户突破8.5亿（+17%），展现持续的平台参与度。Firefly、Acrobat AI助手及GenStudio for Performance Marketing等产品正在获得商业化牵引力，验证了Adobe的AI变现战略。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■ 2026财年指引重申：营收259–261亿美元，非GAAP每股收益$23.30–$23.50。第二季度指引为营收64.3–64.8亿美元，非GAAP每股收益$5.80–$5.85。CEO Shantanu Narayen宣布将在继任者任命后卸任CEO职务，标志着其18年任期后的重大领导层变更。维持买入评级和$325目标价。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更新后的财务预测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FY2026E（前值）</w:t>
            </w:r>
          </w:p>
        </w:tc>
        <w:tc>
          <w:tcPr>
            <w:tcW w:type="dxa" w:w="187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FY2026E（新值）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变化</w:t>
            </w:r>
          </w:p>
        </w:tc>
        <w:tc>
          <w:tcPr>
            <w:tcW w:type="dxa" w:w="158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营收（$B）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$25.9–$26.1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$25.9–$26.1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重申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$28.8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营收增速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9–10%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9–10%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~11%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非GAAP营业利润率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~45%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~45%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~46%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非GAAP每股收益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$23.30–$23.50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$23.30–$23.50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重申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$26.50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总ARR（$B）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$27.8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$27.8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$30.8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市盈率（NTM）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10.2x</w:t>
            </w:r>
          </w:p>
        </w:tc>
        <w:tc>
          <w:tcPr>
            <w:tcW w:type="dxa" w:w="187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10.2x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58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9.0x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 w:val="0"/>
          <w:i/>
          <w:color w:val="8E8E93"/>
          <w:sz w:val="16"/>
        </w:rPr>
        <w:t>注：FY2026E指引已于Q1 FY2026业绩电话会上重申。FY2027E为分析师预测。</w:t>
      </w:r>
    </w:p>
    <w:p>
      <w:r>
        <w:br w:type="page"/>
      </w:r>
    </w:p>
    <w:p>
      <w:r>
        <w:rPr>
          <w:rFonts w:ascii="黑体" w:hAnsi="黑体" w:eastAsia="黑体"/>
          <w:b/>
          <w:color w:val="1C1C4D"/>
          <w:sz w:val="36"/>
        </w:rPr>
        <w:t>详细业绩分析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营收分析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Adobe在2026财年第一季度实现创纪录营收64.0亿美元，同比增长12%（恒定汇率下增长11%），超过华尔街预期的62.8亿美元约1.2亿美元。这标志着公司连续五个季度实现10%以上的营收增长，并从上季度（Q4 FY2025）的10%增速进一步加速。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总订阅收入达61.7亿美元，同比增长13%，占总营收的96.4%。其中，商业专业人士与消费者订阅收入17.8亿美元，同比增长16%，为各客户群中增速最快，受Acrobat AI助手采纳和文档工作流扩展驱动。创意与营销专业人士订阅收入43.9亿美元，同比增长12%，得益于Firefly商业化部署和Creative Cloud持续增长。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1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图1 — 季度营收趋势（资料来源：Adobe业绩新闻稿）</w:t>
      </w:r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季度营收明细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30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Q1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Q2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Q3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Q4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Q1 FY26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总营收（$B）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$5.71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$5.87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$5.99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$6.20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$6.40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+12.1%</w:t>
            </w:r>
          </w:p>
        </w:tc>
      </w:tr>
      <w:tr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  订阅收入（$B）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$5.46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$5.62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$5.75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$5.95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$6.17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+13.0%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  创意与营销专业人士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$3.92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$4.03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$4.12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$4.27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$4.39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+12.0%</w:t>
            </w:r>
          </w:p>
        </w:tc>
      </w:tr>
      <w:tr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  商业与消费者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$1.53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$1.59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$1.63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$1.69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$1.78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+16.3%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营收增速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10.8%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11.0%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10.0%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12.1%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+210bps</w:t>
            </w:r>
          </w:p>
        </w:tc>
      </w:tr>
    </w:tbl>
    <w:p/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盈利能力分析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GAAP毛利率同比扩张50个基点至89.6%，反映订阅收入高增量利润率和运营效率提升。非GAAP营业利润率达47.4%，同比扩张120个基点（Q1 FY2025为46.2%），受营收规模效应驱动，抵消了AI能力方面的持续投入。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GAAP营业利润为24.2亿美元（利润率37.8%），非GAAP营业利润为30.4亿美元（利润率47.4%）。GAAP与非GAAP之间的差异主要反映股权激励费用和无形资产摊销。GAAP每股收益4.60美元同比增长11%，非GAAP每股收益6.06美元同比增长19%，后者增速更快源于利润率扩张和股份回购的双重贡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2_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图2 — 非GAAP每股收益趋势（资料来源：Adobe业绩新闻稿；彭博）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5_marg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图3 — 盈利能力趋势（资料来源：Adobe业绩新闻稿）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利润率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Q1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Q2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Q3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Q4 FY25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Q1 FY26</w:t>
            </w:r>
          </w:p>
        </w:tc>
        <w:tc>
          <w:tcPr>
            <w:tcW w:type="dxa" w:w="122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毛利率（GAAP）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89.1%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89.2%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89.3%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89.4%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89.6%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+50bps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营业利润率（GAAP）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35.3%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35.9%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36.5%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37.1%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37.8%</w:t>
            </w:r>
          </w:p>
        </w:tc>
        <w:tc>
          <w:tcPr>
            <w:tcW w:type="dxa" w:w="122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+250bps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营业利润率（非GAAP）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46.2%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46.5%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46.8%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47.0%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47.4%</w:t>
            </w:r>
          </w:p>
        </w:tc>
        <w:tc>
          <w:tcPr>
            <w:tcW w:type="dxa" w:w="122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+120bps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color w:val="1C1C4D"/>
          <w:sz w:val="36"/>
        </w:rPr>
        <w:t>关键指标与前瞻指引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年化经常性收入（ARR）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截至2026财年第一季度末，Adobe总ARR达260.6亿美元，同比增长10.9%。管理层重申了FY2026年ARR增长10.2%的目标，暗示下半年将维持增长势头。ARR指标仍然是Adobe最重要的关键绩效指标（KPI），因为它反映了订阅收入的全年化运行率，提供了极强的前瞻可见性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AI优先ARR同比增长超过3倍，相比Q1 FY2025披露的约1.25亿美元业务规模显著加速。推动增长的产品包括Firefly（生成式AI图像创作）、Acrobat AI助手、GenStudio for Performance Marketing，以及嵌入Creative Cloud和Experience Cloud的AI功能。尽管Adobe未披露AI优先ARR的精确数字，但&gt;3倍的同比增速表明AI正在成为FY2026-27年实质性的营收贡献来源。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4_ar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图4 — 总ARR趋势（资料来源：Adobe业绩新闻稿）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平台活跃度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月活跃用户在Q1 FY2026突破8.5亿，同比增长17%。该指标至关重要，因为它支撑着Adobe从免费到付费的转化漏斗，并为AI增值销售创造了庞大的装机基础。MAU增长加速反映了Creative Cloud工具网页版和移动版的采纳增加，以及AI功能吸引新用户的效果。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3_seg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图5 — 营收构成与订阅收入增速（资料来源：Adobe Q1 FY2026业绩新闻稿）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第二季度及全年指引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第二季度（Q2 FY2026）指引：营收64.3–64.8亿美元（隐含同比增长~10–11%），非GAAP每股收益$5.80–$5.85，非GAAP营业利润率约44.5%。环比营业利润率下降与季节性模式和投资节奏一致。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2026全财年目标重申：总营收259–261亿美元，非GAAP营业利润率约45%，非GAAP每股收益$23.30–$23.50。Q1超预期后仍重申全年指引，为管理层的可见度提供了信心，并暗示年内有上调空间。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7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7_guid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图6 — FY2026指引 vs. 市场预期（资料来源：Adobe Q1 FY2026业绩新闻稿；彭博）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Q2 FY26指引</w:t>
            </w:r>
          </w:p>
        </w:tc>
        <w:tc>
          <w:tcPr>
            <w:tcW w:type="dxa" w:w="2304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FY2026指引</w:t>
            </w:r>
          </w:p>
        </w:tc>
        <w:tc>
          <w:tcPr>
            <w:tcW w:type="dxa" w:w="216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市场预期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营收（$B）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$6.43–$6.48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$25.9–$26.1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$26.0</w:t>
            </w:r>
          </w:p>
        </w:tc>
      </w:tr>
      <w:tr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非GAAP每股收益</w:t>
            </w:r>
          </w:p>
        </w:tc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$5.80–$5.85</w:t>
            </w:r>
          </w:p>
        </w:tc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$23.30–$23.50</w:t>
            </w:r>
          </w:p>
        </w:tc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$23.35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非GAAP营业利润率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~44.5%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~45%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~45%</w:t>
            </w:r>
          </w:p>
        </w:tc>
      </w:tr>
      <w:tr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ARR增速</w:t>
            </w:r>
          </w:p>
        </w:tc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304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10.2%</w:t>
            </w:r>
          </w:p>
        </w:tc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~10.5%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color w:val="1C1C4D"/>
          <w:sz w:val="36"/>
        </w:rPr>
        <w:t>投资论点更新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论点影响评估</w:t>
      </w:r>
    </w:p>
    <w:p>
      <w:pPr>
        <w:spacing w:after="80"/>
      </w:pPr>
      <w:r>
        <w:rPr>
          <w:rFonts w:ascii="宋体" w:hAnsi="宋体" w:eastAsia="宋体"/>
          <w:b/>
          <w:i w:val="0"/>
          <w:sz w:val="20"/>
        </w:rPr>
        <w:t>■ 论点支柱一：AI变现驱动增长加速</w:t>
      </w:r>
    </w:p>
    <w:p>
      <w:pPr>
        <w:spacing w:after="80"/>
      </w:pPr>
      <w:r>
        <w:rPr>
          <w:rFonts w:ascii="宋体" w:hAnsi="宋体" w:eastAsia="宋体"/>
          <w:b/>
          <w:i w:val="0"/>
          <w:color w:val="1E8A44"/>
          <w:sz w:val="20"/>
        </w:rPr>
        <w:t>状态：强化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Q1 FY2026业绩为Adobe AI战略转化为营收提供了迄今最有力的证据。AI优先ARR同比增长超过3倍，结合8.5亿以上MAU（+17%），证明AI功能既能吸引新用户，又能通过高级订阅层和独立产品实现变现。12%的营收增长从上季度10%加速，进一步验证了AI整合正在成为Creative Cloud、Document Cloud和Experience Cloud的结构性增长催化剂。我们预计AI驱动的营收贡献将在FY2026-27年日益显著。</w:t>
      </w:r>
    </w:p>
    <w:p>
      <w:pPr>
        <w:spacing w:after="80"/>
      </w:pPr>
      <w:r>
        <w:rPr>
          <w:rFonts w:ascii="宋体" w:hAnsi="宋体" w:eastAsia="宋体"/>
          <w:b/>
          <w:i w:val="0"/>
          <w:sz w:val="20"/>
        </w:rPr>
        <w:t>■ 论点支柱二：订阅模式提供盈利可见性与利润率扩张</w:t>
      </w:r>
    </w:p>
    <w:p>
      <w:pPr>
        <w:spacing w:after="80"/>
      </w:pPr>
      <w:r>
        <w:rPr>
          <w:rFonts w:ascii="宋体" w:hAnsi="宋体" w:eastAsia="宋体"/>
          <w:b/>
          <w:i w:val="0"/>
          <w:color w:val="1E8A44"/>
          <w:sz w:val="20"/>
        </w:rPr>
        <w:t>状态：强化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订阅收入占总营收的96.4%，Adobe的经常性收入模式持续提供高可见性和利润率扩张。非GAAP营业利润率同比扩张120bps至47.4%，毛利率达89.6%（+50bps）。创纪录的Q1经营现金流29.6亿美元彰显了模式的现金生成能力。重申的FY2026全年非GAAP营业利润率~45%目标（低于Q1的47.4%）反映季节性投资节奏，但长期利润率扩张轨迹保持完好。</w:t>
      </w:r>
    </w:p>
    <w:p>
      <w:pPr>
        <w:spacing w:after="80"/>
      </w:pPr>
      <w:r>
        <w:rPr>
          <w:rFonts w:ascii="宋体" w:hAnsi="宋体" w:eastAsia="宋体"/>
          <w:b/>
          <w:i w:val="0"/>
          <w:sz w:val="20"/>
        </w:rPr>
        <w:t>■ 论点支柱三：创意和文档工作流中的竞争壁垒</w:t>
      </w:r>
    </w:p>
    <w:p>
      <w:pPr>
        <w:spacing w:after="80"/>
      </w:pPr>
      <w:r>
        <w:rPr>
          <w:rFonts w:ascii="宋体" w:hAnsi="宋体" w:eastAsia="宋体"/>
          <w:b/>
          <w:i w:val="0"/>
          <w:color w:val="1473E6"/>
          <w:sz w:val="20"/>
        </w:rPr>
        <w:t>状态：不变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Adobe的竞争地位保持稳固，但新兴AI原生竞争对手（Canva、Figma替代品、Midjourney）持续在专业消费者层面构成挑战。8.5亿以上MAU表明Adobe的平台粘性依然强劲，而Firefly原生整合至Photoshop、Illustrator等工具在专业工作流中提供了差异化的AI体验。不过，我们注意到股价年初至今下跌约27%，表明市场对竞争风险的定价可能过于激进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CEO交接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Shantanu Narayen宣布将在继任者任命后卸任CEO职务。Narayen领导Adobe 18年，见证了公司从永久许可证软件业务向云优先订阅模式的转型。虽然CEO交接带来不确定性，但我们认为风险可控，原因包括：(1) 有序的过渡流程（非立即离职），(2) Adobe拥有深厚的高管人才储备，(3) 公司强劲的运营动能。我们将密切关注继任时间表，但预计不会影响近期执行力。</w:t>
      </w:r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风险因素</w:t>
      </w:r>
    </w:p>
    <w:p>
      <w:pPr>
        <w:pStyle w:val="ListBullet"/>
        <w:spacing w:after="40"/>
        <w:ind w:left="360"/>
      </w:pPr>
      <w:r>
        <w:rPr>
          <w:rFonts w:ascii="宋体" w:hAnsi="宋体" w:eastAsia="宋体"/>
          <w:sz w:val="20"/>
        </w:rPr>
        <w:t>CEO继任风险：新领导层方向和市场反应的不确定性</w:t>
      </w:r>
    </w:p>
    <w:p>
      <w:pPr>
        <w:pStyle w:val="ListBullet"/>
        <w:spacing w:after="40"/>
        <w:ind w:left="360"/>
      </w:pPr>
      <w:r>
        <w:rPr>
          <w:rFonts w:ascii="宋体" w:hAnsi="宋体" w:eastAsia="宋体"/>
          <w:sz w:val="20"/>
        </w:rPr>
        <w:t>AI竞争颠覆：新兴AI原生工具可能在专业消费者层面蚕食Creative Cloud份额</w:t>
      </w:r>
    </w:p>
    <w:p>
      <w:pPr>
        <w:pStyle w:val="ListBullet"/>
        <w:spacing w:after="40"/>
        <w:ind w:left="360"/>
      </w:pPr>
      <w:r>
        <w:rPr>
          <w:rFonts w:ascii="宋体" w:hAnsi="宋体" w:eastAsia="宋体"/>
          <w:sz w:val="20"/>
        </w:rPr>
        <w:t>宏观敏感性：企业支出放缓可能减慢Experience Cloud增长</w:t>
      </w:r>
    </w:p>
    <w:p>
      <w:pPr>
        <w:pStyle w:val="ListBullet"/>
        <w:spacing w:after="40"/>
        <w:ind w:left="360"/>
      </w:pPr>
      <w:r>
        <w:rPr>
          <w:rFonts w:ascii="宋体" w:hAnsi="宋体" w:eastAsia="宋体"/>
          <w:sz w:val="20"/>
        </w:rPr>
        <w:t>估值压缩：股价年初至今已下跌约27%；若增长减速，估值倍数可能进一步收缩</w:t>
      </w:r>
    </w:p>
    <w:p>
      <w:pPr>
        <w:pStyle w:val="ListBullet"/>
        <w:spacing w:after="40"/>
        <w:ind w:left="360"/>
      </w:pPr>
      <w:r>
        <w:rPr>
          <w:rFonts w:ascii="宋体" w:hAnsi="宋体" w:eastAsia="宋体"/>
          <w:sz w:val="20"/>
        </w:rPr>
        <w:t>监管风险：与训练数据相关的AI版权诉讼潜在风险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97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10_ai_grow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图7 — AI优先ARR与MAU增长（资料来源：Adobe Q1 FY2026业绩新闻稿及电话会）</w:t>
      </w:r>
    </w:p>
    <w:p>
      <w:r>
        <w:br w:type="page"/>
      </w:r>
    </w:p>
    <w:p>
      <w:r>
        <w:rPr>
          <w:rFonts w:ascii="黑体" w:hAnsi="黑体" w:eastAsia="黑体"/>
          <w:b/>
          <w:color w:val="1C1C4D"/>
          <w:sz w:val="36"/>
        </w:rPr>
        <w:t>估值与预测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估值概要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以当前股价$236.56计算，Adobe目前的NTM市盈率约为10.2倍（基于FY2026E非GAAP每股收益中值$23.40），显著低于其3年平均NTM市盈率~22.5倍及大型软件同业中位数~25倍。我们认为当前估值过度反映了竞争风险和CEO交接不确定性。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我们的$325目标价基于混合方法：(1) DCF分析权重60%，隐含每股$340（WACC 9.0%，终端增长率3.0%，更新后的营收/利润率预测）；(2) NTM P/E倍数法权重40%，以14.0倍应用于FY2027E非GAAP每股收益$26.50，隐含每股$371。混合价值约$352，保守取整至$325。隐含上行空间约37%。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64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9_valu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图8 — NTM市盈率倍数（资料来源：彭博，FactSet）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超预期分析与现金流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11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6_beat_mi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图9 — Q1 FY2026超预期分析（资料来源：Adobe业绩新闻稿；彭博）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be_chart8_cash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8E8E93"/>
          <w:sz w:val="17"/>
        </w:rPr>
        <w:t>图10 — 经营现金流（资料来源：Adobe业绩新闻稿）</w:t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0"/>
        </w:rPr>
        <w:t>Adobe在Q1创下29.6亿美元的经营现金流纪录，支持持续的股份回购和资产负债表稳健。季末现金及短期投资为68.9亿美元。强劲的现金流进一步支持我们的论点——Adobe能够在投资AI能力的同时向股东返还资本。</w:t>
      </w:r>
    </w:p>
    <w:p>
      <w:pPr>
        <w:spacing w:before="240" w:after="80"/>
        <w:pBdr>
          <w:bottom w:val="single" w:sz="6" w:space="1" w:color="1C1C4D"/>
        </w:pBdr>
      </w:pPr>
      <w:r>
        <w:rPr>
          <w:rFonts w:ascii="黑体" w:hAnsi="黑体" w:eastAsia="黑体"/>
          <w:b/>
          <w:color w:val="1C1C4D"/>
          <w:sz w:val="26"/>
        </w:rPr>
        <w:t>详细预测更新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72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FY2026E</w:t>
            </w:r>
          </w:p>
        </w:tc>
        <w:tc>
          <w:tcPr>
            <w:tcW w:type="dxa" w:w="144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72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营收（$B）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$23.77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$26.0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+9.4%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$28.8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 xml:space="preserve">  订阅收入（$B）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$22.71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$24.9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+9.6%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$27.6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毛利率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89.3%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89.5%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+20bps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89.7%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非GAAP营业利润（$B）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$10.87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$11.70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+7.6%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$13.25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非GAAP营业利润率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45.7%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45.0%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CC0000"/>
                <w:sz w:val="18"/>
              </w:rPr>
              <w:t>−70bps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46.0%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非GAAP每股收益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$20.50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$23.40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+14.1%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$26.50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GAAP每股收益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$16.60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$18.50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+11.4%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$21.20</w:t>
            </w:r>
          </w:p>
        </w:tc>
      </w:tr>
      <w:tr>
        <w:tc>
          <w:tcPr>
            <w:tcW w:type="dxa" w:w="259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经营现金流（$B）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$10.80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$11.50</w:t>
            </w:r>
          </w:p>
        </w:tc>
        <w:tc>
          <w:tcPr>
            <w:tcW w:type="dxa" w:w="144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+6.5%</w:t>
            </w:r>
          </w:p>
        </w:tc>
        <w:tc>
          <w:tcPr>
            <w:tcW w:type="dxa" w:w="172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$12.80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总ARR（$B）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$25.20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$27.80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8A44"/>
                <w:sz w:val="18"/>
              </w:rPr>
              <w:t>+10.3%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$30.80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 w:val="0"/>
          <w:i/>
          <w:color w:val="8E8E93"/>
          <w:sz w:val="16"/>
        </w:rPr>
        <w:t>注：FY2025A = 实际值；FY2026E/FY2027E = 预测值。A = 实际；E = 预测。</w:t>
      </w:r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目标价推导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115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152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隐含价值</w:t>
            </w:r>
          </w:p>
        </w:tc>
        <w:tc>
          <w:tcPr>
            <w:tcW w:type="dxa" w:w="4608"/>
            <w:shd w:val="clear" w:color="auto" w:fill="1C1C4D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关键假设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DCF分析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60%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$340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WACC 9.0%, 终端增长率 3.0%, 10年预测</w:t>
            </w:r>
          </w:p>
        </w:tc>
      </w:tr>
      <w:tr>
        <w:tc>
          <w:tcPr>
            <w:tcW w:type="dxa" w:w="2160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NTM P/E倍数</w:t>
            </w:r>
          </w:p>
        </w:tc>
        <w:tc>
          <w:tcPr>
            <w:tcW w:type="dxa" w:w="115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40%</w:t>
            </w:r>
          </w:p>
        </w:tc>
        <w:tc>
          <w:tcPr>
            <w:tcW w:type="dxa" w:w="1152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$371</w:t>
            </w:r>
          </w:p>
        </w:tc>
        <w:tc>
          <w:tcPr>
            <w:tcW w:type="dxa" w:w="4608"/>
            <w:shd w:val="clear" w:color="auto" w:fill="F5F5F7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14.0x FY2027E EPS $26.50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混合价值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$352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E5E5EA"/>
              <w:bottom w:val="single" w:sz="4" w:space="0" w:color="E5E5EA"/>
              <w:left w:val="single" w:sz="4" w:space="0" w:color="E5E5EA"/>
              <w:right w:val="single" w:sz="4" w:space="0" w:color="E5E5EA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保守取整至$325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color w:val="1C1C4D"/>
          <w:sz w:val="36"/>
        </w:rPr>
        <w:t>资料来源与参考文献</w:t>
      </w:r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业绩材料（Q1 FY2026）</w:t>
      </w:r>
    </w:p>
    <w:p>
      <w:pPr>
        <w:spacing w:after="80"/>
      </w:pPr>
      <w:r>
        <w:rPr>
          <w:rFonts w:ascii="宋体" w:hAnsi="宋体" w:eastAsia="宋体"/>
          <w:sz w:val="18"/>
        </w:rPr>
        <w:t>业绩新闻稿（2026年3月12日）：</w:t>
      </w:r>
      <w:hyperlink r:id="rId19">
        <w:r>
          <w:rPr>
            <w:rStyle w:val="Hyperlink"/>
            <w:color w:val="1473E6"/>
            <w:u w:val="single"/>
          </w:rPr>
          <w:t>Adobe Delivers Record Q1 Results</w:t>
        </w:r>
      </w:hyperlink>
    </w:p>
    <w:p>
      <w:pPr>
        <w:spacing w:after="80"/>
      </w:pPr>
      <w:r>
        <w:rPr>
          <w:rFonts w:ascii="宋体" w:hAnsi="宋体" w:eastAsia="宋体"/>
          <w:sz w:val="18"/>
        </w:rPr>
        <w:t>Form 8-K / 业绩新闻稿（2026年3月12日提交）：</w:t>
      </w:r>
      <w:hyperlink r:id="rId20">
        <w:r>
          <w:rPr>
            <w:rStyle w:val="Hyperlink"/>
            <w:color w:val="1473E6"/>
            <w:u w:val="single"/>
          </w:rPr>
          <w:t>SEC EDGAR Filing</w:t>
        </w:r>
      </w:hyperlink>
    </w:p>
    <w:p>
      <w:pPr>
        <w:spacing w:after="80"/>
      </w:pPr>
      <w:r>
        <w:rPr>
          <w:rFonts w:ascii="宋体" w:hAnsi="宋体" w:eastAsia="宋体"/>
          <w:sz w:val="18"/>
        </w:rPr>
        <w:t>Q1 FY2026业绩电话会记录（2026年3月12日）：</w:t>
      </w:r>
      <w:hyperlink r:id="rId21">
        <w:r>
          <w:rPr>
            <w:rStyle w:val="Hyperlink"/>
            <w:color w:val="1473E6"/>
            <w:u w:val="single"/>
          </w:rPr>
          <w:t>Adobe投资者关系</w:t>
        </w:r>
      </w:hyperlink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往期参考</w:t>
      </w:r>
    </w:p>
    <w:p>
      <w:pPr>
        <w:spacing w:after="80"/>
      </w:pPr>
      <w:r>
        <w:rPr>
          <w:rFonts w:ascii="宋体" w:hAnsi="宋体" w:eastAsia="宋体"/>
          <w:sz w:val="18"/>
        </w:rPr>
        <w:t>Q4 FY2025业绩新闻稿（2025年12月10日）：</w:t>
      </w:r>
      <w:hyperlink r:id="rId22">
        <w:r>
          <w:rPr>
            <w:rStyle w:val="Hyperlink"/>
            <w:color w:val="1473E6"/>
            <w:u w:val="single"/>
          </w:rPr>
          <w:t>Adobe Reports Record Q4 and FY2025 Revenue</w:t>
        </w:r>
      </w:hyperlink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市场共识与数据</w:t>
      </w:r>
    </w:p>
    <w:p>
      <w:pPr>
        <w:spacing w:after="80"/>
      </w:pPr>
      <w:r>
        <w:rPr>
          <w:rFonts w:ascii="宋体" w:hAnsi="宋体" w:eastAsia="宋体"/>
          <w:b w:val="0"/>
          <w:i/>
          <w:color w:val="8E8E93"/>
          <w:sz w:val="18"/>
        </w:rPr>
        <w:t>彭博市场共识预测截至2026年3月11日（业绩发布前）</w:t>
      </w:r>
    </w:p>
    <w:p>
      <w:pPr>
        <w:spacing w:after="80"/>
      </w:pPr>
      <w:r>
        <w:rPr>
          <w:rFonts w:ascii="宋体" w:hAnsi="宋体" w:eastAsia="宋体"/>
          <w:b w:val="0"/>
          <w:i/>
          <w:color w:val="8E8E93"/>
          <w:sz w:val="18"/>
        </w:rPr>
        <w:t>股价与市场数据来源：Yahoo Finance / 彭博</w:t>
      </w:r>
    </w:p>
    <w:p>
      <w:pPr>
        <w:spacing w:before="160" w:after="40"/>
      </w:pPr>
      <w:r>
        <w:rPr>
          <w:rFonts w:ascii="黑体" w:hAnsi="黑体" w:eastAsia="黑体"/>
          <w:b/>
          <w:color w:val="1473E6"/>
          <w:sz w:val="22"/>
        </w:rPr>
        <w:t>免责声明</w:t>
      </w:r>
    </w:p>
    <w:p>
      <w:pPr>
        <w:spacing w:after="80"/>
      </w:pPr>
      <w:r>
        <w:rPr>
          <w:rFonts w:ascii="宋体" w:hAnsi="宋体" w:eastAsia="宋体"/>
          <w:b w:val="0"/>
          <w:i/>
          <w:color w:val="8E8E93"/>
          <w:sz w:val="16"/>
        </w:rPr>
        <w:t>本报告仅供参考，不构成投资建议。所有预测和估算均为作者观点，可能随时变更。过往业绩不代表未来表现。投资者在做出投资决策前应进行独立尽职调查。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news.adobe.com/news/2026/03/adobe-q1fy26-financial-results" TargetMode="External"/><Relationship Id="rId20" Type="http://schemas.openxmlformats.org/officeDocument/2006/relationships/hyperlink" Target="https://www.sec.gov/cgi-bin/browse-edgar?action=getcompany&amp;CIK=0000796343&amp;type=8-K" TargetMode="External"/><Relationship Id="rId21" Type="http://schemas.openxmlformats.org/officeDocument/2006/relationships/hyperlink" Target="https://www.adobe.com/investor-relations.html" TargetMode="External"/><Relationship Id="rId22" Type="http://schemas.openxmlformats.org/officeDocument/2006/relationships/hyperlink" Target="https://news.adobe.com/news/2025/12/122025-q4earn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