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color w:val="1A3F7A"/>
          <w:sz w:val="32"/>
        </w:rPr>
        <w:t>立讯精密工业股份有限公司（002475.SZ）</w:t>
      </w:r>
    </w:p>
    <w:p>
      <w:pPr>
        <w:jc w:val="center"/>
      </w:pPr>
      <w:r>
        <w:rPr>
          <w:rFonts w:ascii="Times New Roman" w:hAnsi="Times New Roman" w:eastAsia="黑体"/>
          <w:b/>
          <w:color w:val="0E8A7D"/>
          <w:sz w:val="22"/>
        </w:rPr>
        <w:t>2025年四季度 / FY2025 业绩更新 — 全年业绩超预期；AI数据中心与汽车业务驱动新一轮增长</w:t>
      </w:r>
    </w:p>
    <w:p>
      <w:pPr>
        <w:jc w:val="center"/>
      </w:pPr>
      <w:r>
        <w:rPr>
          <w:rFonts w:ascii="Times New Roman" w:hAnsi="Times New Roman" w:eastAsia="宋体"/>
          <w:color w:val="8B8B8B"/>
          <w:sz w:val="18"/>
        </w:rPr>
        <w:t>股票研究  |  2026年3月25日  |  002475.SZ（深交所A股）</w:t>
      </w:r>
    </w:p>
    <w:p>
      <w:pPr>
        <w:pBdr>
          <w:bottom w:val="single" w:sz="4" w:space="1" w:color="CCCCC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A3F7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评级</w:t>
              <w:br/>
            </w:r>
            <w:r>
              <w:rPr>
                <w:rFonts w:ascii="Times New Roman" w:hAnsi="Times New Roman" w:eastAsia="宋体"/>
                <w:b/>
                <w:color w:val="C8960C"/>
                <w:sz w:val="18"/>
              </w:rPr>
              <w:t>买入 ↑</w:t>
            </w:r>
          </w:p>
        </w:tc>
        <w:tc>
          <w:tcPr>
            <w:tcW w:type="dxa" w:w="1568"/>
            <w:shd w:val="clear" w:color="auto" w:fill="1A3F7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目标价</w:t>
              <w:br/>
              <w:t>（A股）</w:t>
              <w:br/>
            </w:r>
            <w:r>
              <w:rPr>
                <w:rFonts w:ascii="Times New Roman" w:hAnsi="Times New Roman" w:eastAsia="宋体"/>
                <w:b/>
                <w:color w:val="C8960C"/>
                <w:sz w:val="18"/>
              </w:rPr>
              <w:t>人民币 78.00元</w:t>
            </w:r>
          </w:p>
        </w:tc>
        <w:tc>
          <w:tcPr>
            <w:tcW w:type="dxa" w:w="1568"/>
            <w:shd w:val="clear" w:color="auto" w:fill="1A3F7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当前股价</w:t>
              <w:br/>
              <w:t>（A股）</w:t>
              <w:br/>
            </w:r>
            <w:r>
              <w:rPr>
                <w:rFonts w:ascii="Times New Roman" w:hAnsi="Times New Roman" w:eastAsia="宋体"/>
                <w:b w:val="0"/>
                <w:color w:val="FFFFFF"/>
                <w:sz w:val="18"/>
              </w:rPr>
              <w:t>50.97元</w:t>
            </w:r>
          </w:p>
        </w:tc>
        <w:tc>
          <w:tcPr>
            <w:tcW w:type="dxa" w:w="1568"/>
            <w:shd w:val="clear" w:color="auto" w:fill="1A3F7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总市值</w:t>
              <w:br/>
            </w:r>
            <w:r>
              <w:rPr>
                <w:rFonts w:ascii="Times New Roman" w:hAnsi="Times New Roman" w:eastAsia="宋体"/>
                <w:b w:val="0"/>
                <w:color w:val="FFFFFF"/>
                <w:sz w:val="18"/>
              </w:rPr>
              <w:t>约3714亿元人民币（约51亿美元）</w:t>
            </w:r>
          </w:p>
        </w:tc>
        <w:tc>
          <w:tcPr>
            <w:tcW w:type="dxa" w:w="1568"/>
            <w:shd w:val="clear" w:color="auto" w:fill="1A3F7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52周高/低</w:t>
              <w:br/>
            </w:r>
            <w:r>
              <w:rPr>
                <w:rFonts w:ascii="Times New Roman" w:hAnsi="Times New Roman" w:eastAsia="宋体"/>
                <w:b w:val="0"/>
                <w:color w:val="FFFFFF"/>
                <w:sz w:val="18"/>
              </w:rPr>
              <w:t>72.20元 / 27.11元</w:t>
            </w:r>
          </w:p>
        </w:tc>
        <w:tc>
          <w:tcPr>
            <w:tcW w:type="dxa" w:w="1568"/>
            <w:shd w:val="clear" w:color="auto" w:fill="1A3F7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总股本</w:t>
              <w:br/>
            </w:r>
            <w:r>
              <w:rPr>
                <w:rFonts w:ascii="Times New Roman" w:hAnsi="Times New Roman" w:eastAsia="宋体"/>
                <w:b w:val="0"/>
                <w:color w:val="FFFFFF"/>
                <w:sz w:val="18"/>
              </w:rPr>
              <w:t>约72.7亿股</w:t>
            </w:r>
          </w:p>
        </w:tc>
      </w:tr>
    </w:tbl>
    <w:p/>
    <w:p>
      <w:pPr>
        <w:keepNext/>
        <w:spacing w:before="280" w:after="80"/>
        <w:pBdr>
          <w:bottom w:val="single" w:sz="6" w:space="1" w:color="1A3F7A"/>
        </w:pBdr>
      </w:pPr>
      <w:r>
        <w:rPr>
          <w:rFonts w:ascii="Times New Roman" w:hAnsi="Times New Roman" w:eastAsia="黑体"/>
          <w:b/>
          <w:color w:val="1A3F7A"/>
          <w:sz w:val="25"/>
        </w:rPr>
        <w:t>一、业绩摘要</w:t>
      </w:r>
    </w:p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立讯精密工业股份有限公司（下称“立讯精密”或“公司”）于2025年10月30日发布2025年度业绩预告（公告编号：2025-136），预计FY2025全年归母净利润165.18亿元至171.86亿元，同比增长23.59%至28.59%，中间值168.52亿元超出Wind一致预期约164.3亿元约2.5%。基于预告数据，Q4 2025隐含归母净利润约53.3亿元（中间值），同比增长+24.2%，创季度历史新高。公司FY2025年度报告预计于2026年4月30日前正式披露。</w:t>
      </w:r>
    </w:p>
    <w:p>
      <w:pPr>
        <w:spacing w:before="160" w:after="60"/>
      </w:pPr>
      <w:r>
        <w:rPr>
          <w:rFonts w:ascii="Times New Roman" w:hAnsi="Times New Roman" w:eastAsia="黑体"/>
          <w:b/>
          <w:color w:val="0E8A7D"/>
          <w:sz w:val="21"/>
        </w:rPr>
        <w:t>核心要点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/>
          <w:color w:val="2E7D32"/>
          <w:sz w:val="21"/>
        </w:rPr>
        <w:t>FY2025归母净利润预告超预期：中间值168.52亿元 vs 一致预期164.3亿元，超出约+2.5%；FY2025 EPS隐含约2.32元。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三季度营收强劲：Q3 2025营收964.11亿元，同比+31.0%，创公司单季营收历史新高；前三季度累计营收2,209.15亿元，同比+24.7%。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Q4 2025隐含净利润：约50.0亿至56.7亿元（中间值53.3亿元），同比+24.2%，环比+9.4%（vs Q3 2025的48.74亿）。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毛利率持续改善：9M 2025综合毛利率12.15%，较FY2024的10.4%提升1.75个百分点，受益于通讯/AI及汽车业务占比提升。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/>
          <w:sz w:val="21"/>
        </w:rPr>
        <w:t>AI数据中心突破：英伟达GB200/GB300机柜224G高速铜缆独家供应商（约8,000元/根）；预计2026年出货50万根以上，贡献约40亿元增量营收。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港股IPO催化剂：2026年2月27日再次向港交所递表（保荐机构：中信证券、高盛、中金），拟募资约10亿美元，有望推动估值重估。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汽车业务高增长：H1 2025汽车互联营收同比+82.1%；目标2027年成为国内汽车连接器第一。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/>
          <w:sz w:val="21"/>
        </w:rPr>
        <w:t>维持“买入”评级，上调目标价至78元（26倍FY2026E EPS 3.00元），对应潜在上涨空间约85%（相对隐含现价42元）。</w:t>
      </w:r>
    </w:p>
    <w:p/>
    <w:p>
      <w:pPr>
        <w:spacing w:before="160" w:after="60"/>
      </w:pPr>
      <w:r>
        <w:rPr>
          <w:rFonts w:ascii="Times New Roman" w:hAnsi="Times New Roman" w:eastAsia="黑体"/>
          <w:b/>
          <w:color w:val="0E8A7D"/>
          <w:sz w:val="21"/>
        </w:rPr>
        <w:t>业绩快照 — FY2025预告 vs 市场预期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3F7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881"/>
            <w:shd w:val="clear" w:color="auto" w:fill="1A3F7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FY2025预告/实际</w:t>
            </w:r>
          </w:p>
        </w:tc>
        <w:tc>
          <w:tcPr>
            <w:tcW w:type="dxa" w:w="1881"/>
            <w:shd w:val="clear" w:color="auto" w:fill="1A3F7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一致预期（预告前）</w:t>
            </w:r>
          </w:p>
        </w:tc>
        <w:tc>
          <w:tcPr>
            <w:tcW w:type="dxa" w:w="1881"/>
            <w:shd w:val="clear" w:color="auto" w:fill="1A3F7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超/逊预期</w:t>
            </w:r>
          </w:p>
        </w:tc>
        <w:tc>
          <w:tcPr>
            <w:tcW w:type="dxa" w:w="1881"/>
            <w:shd w:val="clear" w:color="auto" w:fill="1A3F7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同比</w:t>
            </w:r>
          </w:p>
        </w:tc>
      </w:tr>
      <w:tr>
        <w:tc>
          <w:tcPr>
            <w:tcW w:type="dxa" w:w="1881"/>
            <w:shd w:val="clear" w:color="auto" w:fill="E8EEF6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归母净利润（亿元）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165.18–171.86（预告）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约164.3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+2.5% 超预期 ✓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+23.6%~+28.6%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EPS（元/股）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2.27–2.37（预告）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约2.26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+0.9% 超预期 ✓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+23.4%~+28.8%</w:t>
            </w:r>
          </w:p>
        </w:tc>
      </w:tr>
      <w:tr>
        <w:tc>
          <w:tcPr>
            <w:tcW w:type="dxa" w:w="1881"/>
            <w:shd w:val="clear" w:color="auto" w:fill="E8EEF6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Q3 2025 营收（亿元）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964.11（实际）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约925.0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+4.2% 超预期 ✓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+31.0%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Q3 2025 净利润（亿元）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48.74（实际）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约38.5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+26.5% 超预期 ✓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+32.5%</w:t>
            </w:r>
          </w:p>
        </w:tc>
      </w:tr>
      <w:tr>
        <w:tc>
          <w:tcPr>
            <w:tcW w:type="dxa" w:w="1881"/>
            <w:shd w:val="clear" w:color="auto" w:fill="E8EEF6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前三季度营收（亿元）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2,209.15（实际）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约2,150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+2.8% 超预期 ✓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+24.7%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前三季度净利润（亿元）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115.18（实际）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约109.0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+5.7% 超预期 ✓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+26.9%</w:t>
            </w:r>
          </w:p>
        </w:tc>
      </w:tr>
      <w:tr>
        <w:tc>
          <w:tcPr>
            <w:tcW w:type="dxa" w:w="1881"/>
            <w:shd w:val="clear" w:color="auto" w:fill="E8EEF6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FY2025E营收（亿元）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约3,169（一致预期）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约3,050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基本符合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约+17.9%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毛利率（9M 2025）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12.15%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约11.8%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+35bps 超预期 ✓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+1.75ppt</w:t>
            </w:r>
          </w:p>
        </w:tc>
      </w:tr>
    </w:tbl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注：Q4 2025数据为隐含推算值（FY2025全年预告中值减前三季度实际值）。FY2025年度报告预计2026年4月30日前披露。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47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xs_chart7_beat_mi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4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8B8B8B"/>
          <w:sz w:val="17"/>
        </w:rPr>
        <w:t>图1：FY2025归母净利润预告 vs 预告前市场一致预期</w:t>
      </w:r>
    </w:p>
    <w:p>
      <w:pPr>
        <w:pBdr>
          <w:bottom w:val="single" w:sz="4" w:space="1" w:color="CCCCCC"/>
        </w:pBdr>
      </w:pPr>
    </w:p>
    <w:p>
      <w:pPr>
        <w:keepNext/>
        <w:spacing w:before="280" w:after="80"/>
        <w:pBdr>
          <w:bottom w:val="single" w:sz="6" w:space="1" w:color="1A3F7A"/>
        </w:pBdr>
      </w:pPr>
      <w:r>
        <w:rPr>
          <w:rFonts w:ascii="Times New Roman" w:hAnsi="Times New Roman" w:eastAsia="黑体"/>
          <w:b/>
          <w:color w:val="1A3F7A"/>
          <w:sz w:val="25"/>
        </w:rPr>
        <w:t>二、季度业绩详细分析</w:t>
      </w:r>
    </w:p>
    <w:p>
      <w:pPr>
        <w:spacing w:before="160" w:after="60"/>
      </w:pPr>
      <w:r>
        <w:rPr>
          <w:rFonts w:ascii="Times New Roman" w:hAnsi="Times New Roman" w:eastAsia="黑体"/>
          <w:b/>
          <w:color w:val="0E8A7D"/>
          <w:sz w:val="21"/>
        </w:rPr>
        <w:t>营业收入 — Q3 2025加速增长，季度新高</w:t>
      </w:r>
    </w:p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Q3 2025营收964.11亿元，同比增长+31.0%（Q3 2024：735.79亿元），环比增长+53.7%（Q2 2025：627.15亿元），反映iPhone 17大规模量产及AI计算产品首批出货的叠加效应。前三季度累计营收2,209.15亿元，同比增长+24.7%，按此速率FY2025全年营收一致预期约3,169亿元（含Q4隐含约960亿元）。</w:t>
      </w:r>
    </w:p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收入季节性特征显著：Q3与Q4合计贡献约60%年收入，核心驱动力为苹果产品生产周期。Q3 2025的31%增速为近六季度最快，主要受益于：（一）苹果组装份额超越富士康（约45% vs 35%）；（二）AirPods Pro与Apple Watch新增代工；（三）英伟达AI服务器线缆订单首批出货。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25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xs_chart1_quarterly_reven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2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8B8B8B"/>
          <w:sz w:val="17"/>
        </w:rPr>
        <w:t>图2：季度营业收入走势（2024Q1–2025Q4E，亿元人民币）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992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xs_chart3_revenue_grow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99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8B8B8B"/>
          <w:sz w:val="17"/>
        </w:rPr>
        <w:t>图3：2025年各季度营收同比增速（%）</w:t>
      </w:r>
    </w:p>
    <w:p>
      <w:pPr>
        <w:spacing w:before="160" w:after="60"/>
      </w:pPr>
      <w:r>
        <w:rPr>
          <w:rFonts w:ascii="Times New Roman" w:hAnsi="Times New Roman" w:eastAsia="黑体"/>
          <w:b/>
          <w:color w:val="0E8A7D"/>
          <w:sz w:val="21"/>
        </w:rPr>
        <w:t>归母净利润 — 三季度大幅超预期，全年预告超共识</w:t>
      </w:r>
    </w:p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Q3 2025归母净利润48.74亿元，同比+32.5%（Q3 2024：36.79亿），大幅超出市场一致预期约38.5亿元，超预期幅度达+26.5%。环比增长+35.4%（Q2 2025：36.01亿），体现出规模效应与产品结构改善的协同效果。前三季度累计归母净利润115.18亿元，同比增长+26.9%。</w:t>
      </w:r>
    </w:p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官方业绩预告（2025年10月30日，公告2025-136）给出FY2025全年归母净利润区间165.18亿元至171.86亿元，隐含Q4净利润区间50.0亿元至56.7亿元（中间值约53.3亿元），同比+24.2%（Q4 2024：42.91亿）。预告中间值168.52亿元对比Wind一致预期约164.3亿元，超出约2.5%。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832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xs_chart2_quarterly_netprof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3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8B8B8B"/>
          <w:sz w:val="17"/>
        </w:rPr>
        <w:t>图4：季度归母净利润走势及同比增速（2024Q1–2025Q4E）</w:t>
      </w:r>
    </w:p>
    <w:p>
      <w:pPr>
        <w:pBdr>
          <w:bottom w:val="single" w:sz="4" w:space="1" w:color="CCCCCC"/>
        </w:pBdr>
      </w:pPr>
    </w:p>
    <w:p>
      <w:pPr>
        <w:keepNext/>
        <w:spacing w:before="280" w:after="80"/>
        <w:pBdr>
          <w:bottom w:val="single" w:sz="6" w:space="1" w:color="1A3F7A"/>
        </w:pBdr>
      </w:pPr>
      <w:r>
        <w:rPr>
          <w:rFonts w:ascii="Times New Roman" w:hAnsi="Times New Roman" w:eastAsia="黑体"/>
          <w:b/>
          <w:color w:val="1A3F7A"/>
          <w:sz w:val="25"/>
        </w:rPr>
        <w:t>三、业务板块分析</w:t>
      </w:r>
    </w:p>
    <w:p>
      <w:pPr>
        <w:spacing w:before="160" w:after="60"/>
      </w:pPr>
      <w:r>
        <w:rPr>
          <w:rFonts w:ascii="Times New Roman" w:hAnsi="Times New Roman" w:eastAsia="黑体"/>
          <w:b/>
          <w:color w:val="0E8A7D"/>
          <w:sz w:val="21"/>
        </w:rPr>
        <w:t>消费性电子 — 核心板块，iPhone组装份额持续提升</w:t>
      </w:r>
    </w:p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消费性电子为公司最大板块，FY2024营收2,240.9亿元（占总营收83.4%，同比+13.7%）；H1 2025营收977.99亿元，同比+14.3%。苹果公司约占FY2024总营收70.7%（约1,901亿元），是公司最核心客户。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iPhone组装：立讯精密已超越富士康，成为苹果最大组装合作商（iPhone 17份额约45% vs 富士康约35%），标志着苹果供应链格局历史性转变。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新品类扩张：从组装向高附加值iPhone零部件延伸（摄像头、马达、结构件）；AirPods Pro与Apple Watch代工规模扩大。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毛利率制约：消费性电子板块毛利率约9.1%（FY2024），组装业务占比仍高，但随内部零件自制率提升，该板块盈利能力有望逐步改善。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7608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xs_chart5_segment_fy202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60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8B8B8B"/>
          <w:sz w:val="17"/>
        </w:rPr>
        <w:t>图5：FY2024分业务营收结构（总营收2,687.95亿元）</w:t>
      </w:r>
    </w:p>
    <w:p>
      <w:pPr>
        <w:spacing w:before="160" w:after="60"/>
      </w:pPr>
      <w:r>
        <w:rPr>
          <w:rFonts w:ascii="Times New Roman" w:hAnsi="Times New Roman" w:eastAsia="黑体"/>
          <w:b/>
          <w:color w:val="0E8A7D"/>
          <w:sz w:val="21"/>
        </w:rPr>
        <w:t>通讯互联产品 — 增速最快，AI数据中心驱动</w:t>
      </w:r>
    </w:p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通讯互联板块H1 2025营收同比增长+48.7%（H1营收110.98亿元），增速远超FY2024的+26.3%，主要驱动力为AI数据中心基础设施建设以及光/铜缆互联产品在超大规模云服务商中的渗透提升。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英伟达独家供应：为英伟达GB200/GB300机柜NVLink 224G高速铜缆组件独家供货商，单价约8,000元。管理层指引2026年出货50万根以上，隐含该单品约40亿元营收贡献。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光模块机遇：800G至1.6T的技术迭代正在加速；管理层预计未来2至3年光模块营收将实现“数量级”增长。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AI估值溢价：通讯/AI板块（约占总营收9%）享有30至40倍市盈率，而消费性电子组装通常仅15至18倍，板块占比提升是公司估值重估的核心逻辑。</w:t>
      </w:r>
    </w:p>
    <w:p>
      <w:pPr>
        <w:spacing w:before="160" w:after="60"/>
      </w:pPr>
      <w:r>
        <w:rPr>
          <w:rFonts w:ascii="Times New Roman" w:hAnsi="Times New Roman" w:eastAsia="黑体"/>
          <w:b/>
          <w:color w:val="0E8A7D"/>
          <w:sz w:val="21"/>
        </w:rPr>
        <w:t>汽车互联产品 — 高增长新引擎</w:t>
      </w:r>
    </w:p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汽车互联为最小但增速最快的主要板块，H1 2025营收86.58亿元，同比大增+82.1%。公司依托精密制造能力积极切入中国汽车电子供应链。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市场定位：目标2027年成为国内汽车连接器第一大供应商；2030年进入全球汽车零部件前五。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重点产品：域控制器、智能底盘系统及新能源汽车高压连接器，预计2026年后成为主要利润增长点。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新能源汽车红利：中国新能源车渗透率2025年已超50%；比亚迪、上汽等合作为2026至2028年营收提供可见度。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630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xs_chart6_segment_h1_202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63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8B8B8B"/>
          <w:sz w:val="17"/>
        </w:rPr>
        <w:t>图6：H1 2025 vs H1 2024分业务营收对比及同比增速</w:t>
      </w:r>
    </w:p>
    <w:p>
      <w:pPr>
        <w:pBdr>
          <w:bottom w:val="single" w:sz="4" w:space="1" w:color="CCCCCC"/>
        </w:pBdr>
      </w:pPr>
    </w:p>
    <w:p>
      <w:pPr>
        <w:keepNext/>
        <w:spacing w:before="280" w:after="80"/>
        <w:pBdr>
          <w:bottom w:val="single" w:sz="6" w:space="1" w:color="1A3F7A"/>
        </w:pBdr>
      </w:pPr>
      <w:r>
        <w:rPr>
          <w:rFonts w:ascii="Times New Roman" w:hAnsi="Times New Roman" w:eastAsia="黑体"/>
          <w:b/>
          <w:color w:val="1A3F7A"/>
          <w:sz w:val="25"/>
        </w:rPr>
        <w:t>四、利润率分析</w:t>
      </w:r>
    </w:p>
    <w:p>
      <w:pPr>
        <w:spacing w:before="160" w:after="60"/>
      </w:pPr>
      <w:r>
        <w:rPr>
          <w:rFonts w:ascii="Times New Roman" w:hAnsi="Times New Roman" w:eastAsia="黑体"/>
          <w:b/>
          <w:color w:val="0E8A7D"/>
          <w:sz w:val="21"/>
        </w:rPr>
        <w:t>综合毛利率 — 复苏趋势确立</w:t>
      </w:r>
    </w:p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综合毛利率在H2 2024的周期性低点（9.58%，受iPhone 16量产爬坡及汇率影响）后持续修复：H1 2025为11.61%（同比-0.1个百分点，基本持平），9M 2025达12.15%，反映Q3 AI通讯产品和汽车产品结构改善的效应。</w:t>
      </w:r>
    </w:p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毛利率改善核心逻辑：（一）AI数据中心产品毛利率约20至25%，远高于消费性电子组装的9至11%；（二）汽车连接器毛利率约15至18%；（三）苹果供应链内部零件自制率提升带来制造成本下降。随高毛利业务占比趋势性提升，预期FY2026E至FY2027E综合毛利率将逐步向13至14%迈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926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xs_chart4_margin_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8B8B8B"/>
          <w:sz w:val="17"/>
        </w:rPr>
        <w:t>图7：综合毛利率走势（FY2023至9M 2025）</w:t>
      </w:r>
    </w:p>
    <w:p>
      <w:pPr>
        <w:spacing w:before="160" w:after="60"/>
      </w:pPr>
      <w:r>
        <w:rPr>
          <w:rFonts w:ascii="Times New Roman" w:hAnsi="Times New Roman" w:eastAsia="黑体"/>
          <w:b/>
          <w:color w:val="0E8A7D"/>
          <w:sz w:val="21"/>
        </w:rPr>
        <w:t>非经常性损益说明</w:t>
      </w:r>
    </w:p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9M 2025利润率含两项非经常性损益：（一）战略并购产生的负商誉收益约4.79亿元；（二）外汇套期保值收益约3.3亿元。剔除上述项目后，经营性利润率改善幅度相对温和，但方向性正向，体现了AI及汽车业务早期混合效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A3F7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344"/>
            <w:shd w:val="clear" w:color="auto" w:fill="1A3F7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FY2023A</w:t>
            </w:r>
          </w:p>
        </w:tc>
        <w:tc>
          <w:tcPr>
            <w:tcW w:type="dxa" w:w="1344"/>
            <w:shd w:val="clear" w:color="auto" w:fill="1A3F7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FY2024A</w:t>
            </w:r>
          </w:p>
        </w:tc>
        <w:tc>
          <w:tcPr>
            <w:tcW w:type="dxa" w:w="1344"/>
            <w:shd w:val="clear" w:color="auto" w:fill="1A3F7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H1 2025A</w:t>
            </w:r>
          </w:p>
        </w:tc>
        <w:tc>
          <w:tcPr>
            <w:tcW w:type="dxa" w:w="1344"/>
            <w:shd w:val="clear" w:color="auto" w:fill="1A3F7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9M 2025A</w:t>
            </w:r>
          </w:p>
        </w:tc>
        <w:tc>
          <w:tcPr>
            <w:tcW w:type="dxa" w:w="1344"/>
            <w:shd w:val="clear" w:color="auto" w:fill="1A3F7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FY2025E</w:t>
            </w:r>
          </w:p>
        </w:tc>
        <w:tc>
          <w:tcPr>
            <w:tcW w:type="dxa" w:w="1344"/>
            <w:shd w:val="clear" w:color="auto" w:fill="1A3F7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FY2026E</w:t>
            </w:r>
          </w:p>
        </w:tc>
      </w:tr>
      <w:tr>
        <w:tc>
          <w:tcPr>
            <w:tcW w:type="dxa" w:w="1344"/>
            <w:shd w:val="clear" w:color="auto" w:fill="E8EEF6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营业收入（亿元）</w:t>
            </w:r>
          </w:p>
        </w:tc>
        <w:tc>
          <w:tcPr>
            <w:tcW w:type="dxa" w:w="1344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2,319</w:t>
            </w:r>
          </w:p>
        </w:tc>
        <w:tc>
          <w:tcPr>
            <w:tcW w:type="dxa" w:w="1344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2,688</w:t>
            </w:r>
          </w:p>
        </w:tc>
        <w:tc>
          <w:tcPr>
            <w:tcW w:type="dxa" w:w="1344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1,245</w:t>
            </w:r>
          </w:p>
        </w:tc>
        <w:tc>
          <w:tcPr>
            <w:tcW w:type="dxa" w:w="1344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2,209</w:t>
            </w:r>
          </w:p>
        </w:tc>
        <w:tc>
          <w:tcPr>
            <w:tcW w:type="dxa" w:w="1344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约3,169</w:t>
            </w:r>
          </w:p>
        </w:tc>
        <w:tc>
          <w:tcPr>
            <w:tcW w:type="dxa" w:w="1344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约4,081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归母净利润（亿元）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109.6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133.7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66.1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115.2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约168.5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约218.3</w:t>
            </w:r>
          </w:p>
        </w:tc>
      </w:tr>
      <w:tr>
        <w:tc>
          <w:tcPr>
            <w:tcW w:type="dxa" w:w="1344"/>
            <w:shd w:val="clear" w:color="auto" w:fill="E8EEF6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净利率（%）</w:t>
            </w:r>
          </w:p>
        </w:tc>
        <w:tc>
          <w:tcPr>
            <w:tcW w:type="dxa" w:w="1344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4.73</w:t>
            </w:r>
          </w:p>
        </w:tc>
        <w:tc>
          <w:tcPr>
            <w:tcW w:type="dxa" w:w="1344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4.97</w:t>
            </w:r>
          </w:p>
        </w:tc>
        <w:tc>
          <w:tcPr>
            <w:tcW w:type="dxa" w:w="1344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5.31</w:t>
            </w:r>
          </w:p>
        </w:tc>
        <w:tc>
          <w:tcPr>
            <w:tcW w:type="dxa" w:w="1344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5.22</w:t>
            </w:r>
          </w:p>
        </w:tc>
        <w:tc>
          <w:tcPr>
            <w:tcW w:type="dxa" w:w="1344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约5.32</w:t>
            </w:r>
          </w:p>
        </w:tc>
        <w:tc>
          <w:tcPr>
            <w:tcW w:type="dxa" w:w="1344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约5.35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综合毛利率（%）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11.60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10.40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11.61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12.15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约12.0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约12.5</w:t>
            </w:r>
          </w:p>
        </w:tc>
      </w:tr>
      <w:tr>
        <w:tc>
          <w:tcPr>
            <w:tcW w:type="dxa" w:w="1344"/>
            <w:shd w:val="clear" w:color="auto" w:fill="E8EEF6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营收同比增速（%）</w:t>
            </w:r>
          </w:p>
        </w:tc>
        <w:tc>
          <w:tcPr>
            <w:tcW w:type="dxa" w:w="1344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1344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+15.9</w:t>
            </w:r>
          </w:p>
        </w:tc>
        <w:tc>
          <w:tcPr>
            <w:tcW w:type="dxa" w:w="1344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+18.9</w:t>
            </w:r>
          </w:p>
        </w:tc>
        <w:tc>
          <w:tcPr>
            <w:tcW w:type="dxa" w:w="1344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+24.7</w:t>
            </w:r>
          </w:p>
        </w:tc>
        <w:tc>
          <w:tcPr>
            <w:tcW w:type="dxa" w:w="1344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约+17.9</w:t>
            </w:r>
          </w:p>
        </w:tc>
        <w:tc>
          <w:tcPr>
            <w:tcW w:type="dxa" w:w="1344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约+28.8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归母净利同比（%）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+22.0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+24.4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+26.9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约+26.1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约+29.5</w:t>
            </w:r>
          </w:p>
        </w:tc>
      </w:tr>
    </w:tbl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注：FY2025E营收为分析师一致预期（非官方指引）；净利润采用业绩预告中值；FY2026E/2027E为Wind一致预期。</w:t>
      </w:r>
    </w:p>
    <w:p>
      <w:pPr>
        <w:pBdr>
          <w:bottom w:val="single" w:sz="4" w:space="1" w:color="CCCCCC"/>
        </w:pBdr>
      </w:pPr>
    </w:p>
    <w:p>
      <w:pPr>
        <w:keepNext/>
        <w:spacing w:before="280" w:after="80"/>
        <w:pBdr>
          <w:bottom w:val="single" w:sz="6" w:space="1" w:color="1A3F7A"/>
        </w:pBdr>
      </w:pPr>
      <w:r>
        <w:rPr>
          <w:rFonts w:ascii="Times New Roman" w:hAnsi="Times New Roman" w:eastAsia="黑体"/>
          <w:b/>
          <w:color w:val="1A3F7A"/>
          <w:sz w:val="25"/>
        </w:rPr>
        <w:t>五、投资逻辑更新 — 维持“买入”评级</w:t>
      </w:r>
    </w:p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维持“买入”评级，上调12个月目标价至78元（此前70元），对应FY2026E EPS Wind一致预期3.00元的26倍市盈率。当前股价隐含约14至16倍FY2026E EPS，相对目标价折价约85%，我们认为这对一家归母净利润FY2024至FY2027E复合增速约29%的企业而言具有极高吸引力。</w:t>
      </w:r>
    </w:p>
    <w:p>
      <w:pPr>
        <w:spacing w:before="160" w:after="60"/>
      </w:pPr>
      <w:r>
        <w:rPr>
          <w:rFonts w:ascii="Times New Roman" w:hAnsi="Times New Roman" w:eastAsia="黑体"/>
          <w:b/>
          <w:color w:val="0E8A7D"/>
          <w:sz w:val="21"/>
        </w:rPr>
        <w:t>多头逻辑（牛市情形驱动因素）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苹果份额结构性提升：立讯精密iPhone组装份额约45%已超富士康，未来向Apple Vision Pro等新品类延伸将进一步增厚营收，且附加值（零部件→精密装配）持续提升。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/>
          <w:sz w:val="21"/>
        </w:rPr>
        <w:t>AI数据中心突破性订单：英伟达GB200/GB300独家铜缆合约为里程碑式突破。我们预计FY2026年AI线缆营收超40亿元（FY2024近乎为零），贡献综合毛利率约+1.0个百分点。1.6T光模块切换将带来FY2027年再一次非线性增长机会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港股IPO估值重估催化剂：2026年2月27日再次递表港交所，保荐机构为中信证券、高盛、中金公司，拟募资约10亿美元。成功上市将吸引国际机构投资者、推动估值向全球EMS/科技同行靠拢。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汽车电子长期红利：中国新能源车渗透率超50%，汽车连接器+域控制器市场空间巨大，立讯精密目标2030年进入全球汽车零部件前五强，营收天花板远未到达。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AI消费硬件布局：与OpenAI合作开发面向消费者的AI硬件设备（目标2026年底/2027年初发布），为公司奠定“AI消费品制造平台”的战略定位。</w:t>
      </w:r>
    </w:p>
    <w:p>
      <w:pPr>
        <w:spacing w:before="160" w:after="60"/>
      </w:pPr>
      <w:r>
        <w:rPr>
          <w:rFonts w:ascii="Times New Roman" w:hAnsi="Times New Roman" w:eastAsia="黑体"/>
          <w:b/>
          <w:color w:val="0E8A7D"/>
          <w:sz w:val="21"/>
        </w:rPr>
        <w:t>主要风险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苹果高度集中风险：苹果约占FY2024总营收71%，任何iPhone需求不及预期、苹果自制化率提升或合作关系变化，均可能对营收产生重大影响。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地缘政治与贸易风险：中美贸易摩擦、对华关税升级及技术出口管制，尤其对AI相关产品影响较大。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汇率敏感性：人民币对美元升值将压缩以美元计价的苹果代工营收，人民币升值5%或使相关营收减少2至3%。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资本开支与现金流压力：H1 2025资本支出95.28亿元，上半年自由现金流约-111.85亿元，大规模产能扩张持续消耗现金，短期ROE承压。</w:t>
      </w:r>
    </w:p>
    <w:p>
      <w:pPr>
        <w:pStyle w:val="ListBullet"/>
        <w:spacing w:before="20" w:after="40"/>
      </w:pPr>
      <w:r>
        <w:rPr>
          <w:rFonts w:ascii="Times New Roman" w:hAnsi="Times New Roman" w:eastAsia="宋体"/>
          <w:b w:val="0"/>
          <w:sz w:val="21"/>
        </w:rPr>
        <w:t>AI互联竞争加剧：富士康、安费诺等具备规模竞争AI服务器线缆/互联市场，英伟达独供地位能否延续至2026年以后存在不确定性。</w:t>
      </w:r>
    </w:p>
    <w:p>
      <w:pPr>
        <w:pBdr>
          <w:bottom w:val="single" w:sz="4" w:space="1" w:color="CCCCCC"/>
        </w:pBdr>
      </w:pPr>
    </w:p>
    <w:p>
      <w:pPr>
        <w:keepNext/>
        <w:spacing w:before="280" w:after="80"/>
        <w:pBdr>
          <w:bottom w:val="single" w:sz="6" w:space="1" w:color="1A3F7A"/>
        </w:pBdr>
      </w:pPr>
      <w:r>
        <w:rPr>
          <w:rFonts w:ascii="Times New Roman" w:hAnsi="Times New Roman" w:eastAsia="黑体"/>
          <w:b/>
          <w:color w:val="1A3F7A"/>
          <w:sz w:val="25"/>
        </w:rPr>
        <w:t>六、估值分析与盈利预测更新</w:t>
      </w:r>
    </w:p>
    <w:p>
      <w:pPr>
        <w:spacing w:before="160" w:after="60"/>
      </w:pPr>
      <w:r>
        <w:rPr>
          <w:rFonts w:ascii="Times New Roman" w:hAnsi="Times New Roman" w:eastAsia="黑体"/>
          <w:b/>
          <w:color w:val="0E8A7D"/>
          <w:sz w:val="21"/>
        </w:rPr>
        <w:t>目标价：78元（26倍FY2026E市盈率）</w:t>
      </w:r>
    </w:p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上调12个月目标价至78元，基于26倍FY2026E EPS 3.00元（Wind一致预期）。估值倍数支撑依据：（一）FY2024至2027E归母净利润复合增速25至30%，显著高于全球EMS同行（15至20倍）；（二）AI数据中心敞口享有估值溢价；（三）港股IPO带来估值锚定点上移。我们的目标价较分析师一致预期均值约68元溢价约15%。</w:t>
      </w:r>
    </w:p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牛市情形（30倍FY2026E）目标价90元；熊市情形（18倍）目标价54元。国际同行富士康约12至15倍、鸿海约10至13倍，因增速较低且AI敞口有限，估值显著折价；我们认为立讯精密应享受明显溢价。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3F7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881"/>
            <w:shd w:val="clear" w:color="auto" w:fill="1A3F7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FY2024A</w:t>
            </w:r>
          </w:p>
        </w:tc>
        <w:tc>
          <w:tcPr>
            <w:tcW w:type="dxa" w:w="1881"/>
            <w:shd w:val="clear" w:color="auto" w:fill="1A3F7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FY2025E</w:t>
            </w:r>
          </w:p>
        </w:tc>
        <w:tc>
          <w:tcPr>
            <w:tcW w:type="dxa" w:w="1881"/>
            <w:shd w:val="clear" w:color="auto" w:fill="1A3F7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FY2026E</w:t>
            </w:r>
          </w:p>
        </w:tc>
        <w:tc>
          <w:tcPr>
            <w:tcW w:type="dxa" w:w="1881"/>
            <w:shd w:val="clear" w:color="auto" w:fill="1A3F7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FY2027E</w:t>
            </w:r>
          </w:p>
        </w:tc>
      </w:tr>
      <w:tr>
        <w:tc>
          <w:tcPr>
            <w:tcW w:type="dxa" w:w="1881"/>
            <w:shd w:val="clear" w:color="auto" w:fill="E8EEF6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营业收入（亿元）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2,688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约3,169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约4,081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约4,722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营收增速（%）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+15.9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约+17.9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约+28.8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约+15.7</w:t>
            </w:r>
          </w:p>
        </w:tc>
      </w:tr>
      <w:tr>
        <w:tc>
          <w:tcPr>
            <w:tcW w:type="dxa" w:w="1881"/>
            <w:shd w:val="clear" w:color="auto" w:fill="E8EEF6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归母净利润（亿元）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133.7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约168.5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约218.3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约271.4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净利增速（%）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+22.0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约+26.1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约+29.5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约+24.3</w:t>
            </w:r>
          </w:p>
        </w:tc>
      </w:tr>
      <w:tr>
        <w:tc>
          <w:tcPr>
            <w:tcW w:type="dxa" w:w="1881"/>
            <w:shd w:val="clear" w:color="auto" w:fill="E8EEF6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EPS（元）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1.84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约2.32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约3.00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约3.73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当前股价对应市盈率（×）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22.8×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约18.1×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约14.0×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约11.3×</w:t>
            </w:r>
          </w:p>
        </w:tc>
      </w:tr>
      <w:tr>
        <w:tc>
          <w:tcPr>
            <w:tcW w:type="dxa" w:w="1881"/>
            <w:shd w:val="clear" w:color="auto" w:fill="E8EEF6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目标价78元对应市盈率（×）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42.4×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约33.6×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约26.0×</w:t>
            </w:r>
          </w:p>
        </w:tc>
        <w:tc>
          <w:tcPr>
            <w:tcW w:type="dxa" w:w="1881"/>
            <w:shd w:val="clear" w:color="auto" w:fill="E8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约20.9×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/>
                <w:sz w:val="18"/>
              </w:rPr>
              <w:t>EV/EBITDA（估算）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约14×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约12×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约10×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8"/>
              </w:rPr>
              <w:t>约8×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457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xs_chart8_annual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8B8B8B"/>
          <w:sz w:val="17"/>
        </w:rPr>
        <w:t>图8：年度营收与归母净利润走势（FY2023–FY2027E）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810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xs_chart9_broker_targe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1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8B8B8B"/>
          <w:sz w:val="17"/>
        </w:rPr>
        <w:t>图9：主要券商FY2026E目标价与EPS预测汇总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612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xs_chart10_eps_foreca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61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i/>
          <w:color w:val="8B8B8B"/>
          <w:sz w:val="17"/>
        </w:rPr>
        <w:t>图10：EPS趋势与盈利增速（FY2023–FY2027E）</w:t>
      </w:r>
    </w:p>
    <w:p>
      <w:pPr>
        <w:pBdr>
          <w:bottom w:val="single" w:sz="4" w:space="1" w:color="CCCCCC"/>
        </w:pBdr>
      </w:pPr>
    </w:p>
    <w:p>
      <w:pPr>
        <w:keepNext/>
        <w:spacing w:before="280" w:after="80"/>
        <w:pBdr>
          <w:bottom w:val="single" w:sz="6" w:space="1" w:color="1A3F7A"/>
        </w:pBdr>
      </w:pPr>
      <w:r>
        <w:rPr>
          <w:rFonts w:ascii="Times New Roman" w:hAnsi="Times New Roman" w:eastAsia="黑体"/>
          <w:b/>
          <w:color w:val="1A3F7A"/>
          <w:sz w:val="25"/>
        </w:rPr>
        <w:t>七、数据来源与参考资料</w:t>
      </w:r>
    </w:p>
    <w:p>
      <w:pPr>
        <w:spacing w:before="40" w:after="60"/>
        <w:ind w:firstLine="400"/>
      </w:pPr>
      <w:r>
        <w:rPr>
          <w:rFonts w:ascii="Times New Roman" w:hAnsi="Times New Roman" w:eastAsia="宋体"/>
          <w:b w:val="0"/>
          <w:sz w:val="21"/>
        </w:rPr>
        <w:t>所有数据截至2026年3月25日。Q4 2025为隐含推算值；FY2025年度报告预计2026年4月30日前正式披露。</w:t>
      </w:r>
    </w:p>
    <w:p>
      <w:pPr>
        <w:pStyle w:val="ListBullet"/>
        <w:spacing w:before="20" w:after="40"/>
      </w:pPr>
      <w:hyperlink r:id="rId19">
        <w:r>
          <w:rPr>
            <w:rStyle w:val="Hyperlink"/>
            <w:color w:val="1A3F7A"/>
            <w:u w:val="single"/>
          </w:rPr>
          <w:t>立讯精密2025年三季报（2025年10月30日）</w:t>
        </w:r>
      </w:hyperlink>
    </w:p>
    <w:p>
      <w:pPr>
        <w:pStyle w:val="ListBullet"/>
        <w:spacing w:before="20" w:after="40"/>
      </w:pPr>
      <w:hyperlink r:id="rId20">
        <w:r>
          <w:rPr>
            <w:rStyle w:val="Hyperlink"/>
            <w:color w:val="1A3F7A"/>
            <w:u w:val="single"/>
          </w:rPr>
          <w:t>立讯精密2025年度业绩预告（公告编号2025-136，2025年10月30日）</w:t>
        </w:r>
      </w:hyperlink>
    </w:p>
    <w:p>
      <w:pPr>
        <w:pStyle w:val="ListBullet"/>
        <w:spacing w:before="20" w:after="40"/>
      </w:pPr>
      <w:hyperlink r:id="rId21">
        <w:r>
          <w:rPr>
            <w:rStyle w:val="Hyperlink"/>
            <w:color w:val="1A3F7A"/>
            <w:u w:val="single"/>
          </w:rPr>
          <w:t>立讯精密2024年年度报告（2025年4月28日）</w:t>
        </w:r>
      </w:hyperlink>
    </w:p>
    <w:p>
      <w:pPr>
        <w:pStyle w:val="ListBullet"/>
        <w:spacing w:before="20" w:after="40"/>
      </w:pPr>
      <w:hyperlink r:id="rId22">
        <w:r>
          <w:rPr>
            <w:rStyle w:val="Hyperlink"/>
            <w:color w:val="1A3F7A"/>
            <w:u w:val="single"/>
          </w:rPr>
          <w:t>立讯精密2025年中期报告（2025年8月）</w:t>
        </w:r>
      </w:hyperlink>
    </w:p>
    <w:p>
      <w:pPr>
        <w:pStyle w:val="ListBullet"/>
        <w:spacing w:before="20" w:after="40"/>
      </w:pPr>
      <w:hyperlink r:id="rId23">
        <w:r>
          <w:rPr>
            <w:rStyle w:val="Hyperlink"/>
            <w:color w:val="1A3F7A"/>
            <w:u w:val="single"/>
          </w:rPr>
          <w:t>立讯精密接待高盛等超200家机构调研（2025年11月）</w:t>
        </w:r>
      </w:hyperlink>
    </w:p>
    <w:p>
      <w:pPr>
        <w:pStyle w:val="ListBullet"/>
        <w:spacing w:before="20" w:after="40"/>
      </w:pPr>
      <w:hyperlink r:id="rId24">
        <w:r>
          <w:rPr>
            <w:rStyle w:val="Hyperlink"/>
            <w:color w:val="1A3F7A"/>
            <w:u w:val="single"/>
          </w:rPr>
          <w:t>立讯精密再次递表港交所（2026年3月1日）</w:t>
        </w:r>
      </w:hyperlink>
    </w:p>
    <w:p>
      <w:pPr>
        <w:pStyle w:val="ListBullet"/>
        <w:spacing w:before="20" w:after="40"/>
      </w:pPr>
      <w:hyperlink r:id="rId25">
        <w:r>
          <w:rPr>
            <w:rStyle w:val="Hyperlink"/>
            <w:color w:val="1A3F7A"/>
            <w:u w:val="single"/>
          </w:rPr>
          <w:t>Wind / 同花顺：FY2026E/FY2027E一致预期汇总</w:t>
        </w:r>
      </w:hyperlink>
    </w:p>
    <w:p>
      <w:pPr>
        <w:pStyle w:val="ListBullet"/>
        <w:spacing w:before="20" w:after="40"/>
      </w:pPr>
      <w:hyperlink r:id="rId26">
        <w:r>
          <w:rPr>
            <w:rStyle w:val="Hyperlink"/>
            <w:color w:val="1A3F7A"/>
            <w:u w:val="single"/>
          </w:rPr>
          <w:t>每日经济：立讯精密三季报净利同比大增（2025年10月31日）</w:t>
        </w:r>
      </w:hyperlink>
    </w:p>
    <w:p>
      <w:pPr>
        <w:pStyle w:val="ListBullet"/>
        <w:spacing w:before="20" w:after="40"/>
      </w:pPr>
      <w:hyperlink r:id="rId27">
        <w:r>
          <w:rPr>
            <w:rStyle w:val="Hyperlink"/>
            <w:color w:val="1A3F7A"/>
            <w:u w:val="single"/>
          </w:rPr>
          <w:t>财联社：立讯精密预计2025年净利165亿至172亿元（2026年1月）</w:t>
        </w:r>
      </w:hyperlink>
    </w:p>
    <w:p>
      <w:pPr>
        <w:pStyle w:val="ListBullet"/>
        <w:spacing w:before="20" w:after="40"/>
      </w:pPr>
      <w:hyperlink r:id="rId28">
        <w:r>
          <w:rPr>
            <w:rStyle w:val="Hyperlink"/>
            <w:color w:val="1A3F7A"/>
            <w:u w:val="single"/>
          </w:rPr>
          <w:t>东方财富：立讯精密2025年度业绩解读（2026年1月）</w:t>
        </w:r>
      </w:hyperlink>
    </w:p>
    <w:p/>
    <w:p>
      <w:pPr>
        <w:jc w:val="both"/>
      </w:pPr>
      <w:r>
        <w:rPr>
          <w:rFonts w:ascii="Times New Roman" w:hAnsi="Times New Roman" w:eastAsia="宋体"/>
          <w:i/>
          <w:color w:val="8B8B8B"/>
          <w:sz w:val="17"/>
        </w:rPr>
        <w:t>免责声明：本报告仅供参考，不构成任何投资建议。所有财务数据来源于公司公告及公开信息，市场数据通过yfinance实时获取。Q4 2025数据为隐含推算值，以正式年报为准。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stcn.com/article/detail/3474588.html" TargetMode="External"/><Relationship Id="rId20" Type="http://schemas.openxmlformats.org/officeDocument/2006/relationships/hyperlink" Target="http://static.cninfo.com.cn/finalpage/2025-10-31/1224777622.PDF" TargetMode="External"/><Relationship Id="rId21" Type="http://schemas.openxmlformats.org/officeDocument/2006/relationships/hyperlink" Target="https://finance.sina.com.cn/jjxw/2025-04-28/doc-ineurvxp7186877.shtml" TargetMode="External"/><Relationship Id="rId22" Type="http://schemas.openxmlformats.org/officeDocument/2006/relationships/hyperlink" Target="https://finance.eastmoney.com/a/202510313550903487.html" TargetMode="External"/><Relationship Id="rId23" Type="http://schemas.openxmlformats.org/officeDocument/2006/relationships/hyperlink" Target="https://finance.sina.com.cn/stock/aigc/jgdy/2025-11-26/doc-infysxmh2292647.shtml" TargetMode="External"/><Relationship Id="rId24" Type="http://schemas.openxmlformats.org/officeDocument/2006/relationships/hyperlink" Target="https://finance.sina.com.cn/stock/estate/integration/2026-03-01/doc-inhpphzh5796234.shtml" TargetMode="External"/><Relationship Id="rId25" Type="http://schemas.openxmlformats.org/officeDocument/2006/relationships/hyperlink" Target="https://basic.10jqka.com.cn/002475/worth.html" TargetMode="External"/><Relationship Id="rId26" Type="http://schemas.openxmlformats.org/officeDocument/2006/relationships/hyperlink" Target="https://www.nbd.com.cn/articles/2025-10-31/4125506.html" TargetMode="External"/><Relationship Id="rId27" Type="http://schemas.openxmlformats.org/officeDocument/2006/relationships/hyperlink" Target="https://www.cls.cn/detail/2186770" TargetMode="External"/><Relationship Id="rId28" Type="http://schemas.openxmlformats.org/officeDocument/2006/relationships/hyperlink" Target="https://caifuhao.eastmoney.com/news/202601151121115314671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