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</w:pPr>
      <w:r>
        <w:rPr>
          <w:rFonts w:ascii="Times New Roman" w:hAnsi="Times New Roman" w:eastAsia="黑体"/>
          <w:b/>
          <w:color w:val="003366"/>
          <w:sz w:val="40"/>
        </w:rPr>
        <w:t>CEREBRAS SYSTEMS, INC.（赛瑞布斯系统）</w:t>
      </w:r>
    </w:p>
    <w:p>
      <w:pPr>
        <w:spacing w:before="40" w:after="40"/>
      </w:pPr>
      <w:r>
        <w:rPr>
          <w:rFonts w:ascii="Times New Roman" w:hAnsi="Times New Roman" w:eastAsia="黑体"/>
          <w:b w:val="0"/>
          <w:color w:val="0066CC"/>
          <w:sz w:val="28"/>
        </w:rPr>
        <w:t>IPO 暨 FY2025 年度财务分析报告</w:t>
      </w:r>
    </w:p>
    <w:p>
      <w:pPr>
        <w:spacing w:before="80" w:after="40"/>
      </w:pPr>
      <w:r>
        <w:rPr>
          <w:rFonts w:ascii="Times New Roman" w:hAnsi="Times New Roman" w:eastAsia="宋体"/>
          <w:b/>
          <w:i w:val="0"/>
          <w:color w:val="003366"/>
          <w:sz w:val="20"/>
        </w:rPr>
        <w:t>纳斯达克代码：CBRS  |  当前股价：$279.72  |  市值：$60.2B  |  行业：AI基础设施/半导体</w:t>
      </w:r>
    </w:p>
    <w:p>
      <w:pPr>
        <w:spacing w:before="40" w:after="12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IPO日期：2026年5月14日  |  发行价：$185  |  首日收盘价：$311.07（+68.2%）  |  员工数：约708人</w:t>
      </w:r>
    </w:p>
    <w:p>
      <w:pPr>
        <w:spacing w:before="40" w:after="40"/>
        <w:pBdr>
          <w:bottom w:val="single" w:sz="4" w:space="1" w:color="003366"/>
        </w:pBdr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003366"/>
          <w:sz w:val="26"/>
        </w:rPr>
        <w:t>核心要点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FY2025营收达5.10亿美元（同比+76%），由硬件系统（3.58亿美元）和云/推理服务（1.52亿美元）双轮驱动。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GAAP净利润2.38亿美元，包含G42远期合约注销产生的一次性非现金收益3.63亿美元；调整后净亏损7,570万美元。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FY2025毛利率39.0%，较FY2024（42.3%）下降330个基点，主因硬件产品占比上升；云服务业务具备更高毛利率潜力。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签署重大合约：OpenAI 200亿美元以上多年期协议（750MW推理算力）；AWS多年期合作伙伴关系（含2.70亿美元股权投资）。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客户集中度仍为核心风险：FY2025营收的86%来自阿联酋关联实体（MBZUAI占62%，G42占24%）。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IPO以每股$185定价募资55.5亿美元——为Uber（2019年）以来最大美国科技IPO。首日以$350开盘，$311收盘。</w:t>
      </w:r>
    </w:p>
    <w:p>
      <w:pPr>
        <w:spacing w:before="40" w:after="40"/>
        <w:pBdr>
          <w:bottom w:val="single" w:sz="4" w:space="1" w:color="003366"/>
        </w:pBdr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003366"/>
          <w:sz w:val="26"/>
        </w:rPr>
        <w:t>FY2025 业绩概览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vAlign w:val="center"/>
            <w:shd w:val="clear" w:color="auto"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vAlign w:val="center"/>
            <w:shd w:val="clear" w:color="auto"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FY2025</w:t>
            </w:r>
          </w:p>
        </w:tc>
        <w:tc>
          <w:tcPr>
            <w:tcW w:type="dxa" w:w="2160"/>
            <w:vAlign w:val="center"/>
            <w:shd w:val="clear" w:color="auto"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2160"/>
            <w:vAlign w:val="center"/>
            <w:shd w:val="clear" w:color="auto"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同比变化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营收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$5.10亿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$2.90亿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+75.7%</w:t>
            </w:r>
          </w:p>
        </w:tc>
      </w:tr>
      <w:tr>
        <w:tc>
          <w:tcPr>
            <w:tcW w:type="dxa" w:w="288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毛利润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$1.99亿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$1.23亿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+62.2%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毛利率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39.0%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42.3%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-330 bps</w:t>
            </w:r>
          </w:p>
        </w:tc>
      </w:tr>
      <w:tr>
        <w:tc>
          <w:tcPr>
            <w:tcW w:type="dxa" w:w="288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研发费用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$2.43亿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$1.58亿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+53.8%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销售及管理费用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$1.02亿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$0.66亿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+54.1%</w:t>
            </w:r>
          </w:p>
        </w:tc>
      </w:tr>
      <w:tr>
        <w:tc>
          <w:tcPr>
            <w:tcW w:type="dxa" w:w="288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运营亏损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($1.46亿)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($1.01亿)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扩大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GAAP净利润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$2.38亿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($4.82亿)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扭亏为盈*</w:t>
            </w:r>
          </w:p>
        </w:tc>
      </w:tr>
      <w:tr>
        <w:tc>
          <w:tcPr>
            <w:tcW w:type="dxa" w:w="288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调整后净亏损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($0.76亿)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—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摊薄每股收益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$1.38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($9.90)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扭亏</w:t>
            </w:r>
          </w:p>
        </w:tc>
      </w:tr>
    </w:tbl>
    <w:p>
      <w:pPr>
        <w:spacing w:before="40" w:after="40"/>
      </w:pPr>
      <w:r>
        <w:rPr>
          <w:rFonts w:ascii="Times New Roman" w:hAnsi="Times New Roman" w:eastAsia="宋体"/>
          <w:b w:val="0"/>
          <w:i/>
          <w:color w:val="444444"/>
          <w:sz w:val="16"/>
        </w:rPr>
        <w:t>*GAAP净利润包含G42远期合约清偿所产生的一次性非现金收益3.633亿美元。</w:t>
      </w:r>
    </w:p>
    <w:p>
      <w:pPr>
        <w:spacing w:before="20" w:after="80"/>
      </w:pPr>
      <w:r>
        <w:rPr>
          <w:rFonts w:ascii="Times New Roman" w:hAnsi="Times New Roman" w:eastAsia="宋体"/>
          <w:b w:val="0"/>
          <w:i/>
          <w:color w:val="444444"/>
          <w:sz w:val="16"/>
        </w:rPr>
        <w:t>数据来源：Cerebras Systems S-1招股说明书（SEC EDGAR，2026年4月17日）；StockAnalysis.com。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 w:eastAsia="黑体"/>
          <w:b/>
          <w:color w:val="003366"/>
          <w:sz w:val="32"/>
        </w:rPr>
        <w:t>营收详细分析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营收增长轨迹：从初创到5.1亿美元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Cerebras Systems展现了卓越的顶线增长能力，营收从FY2022年的2,460万美元增长至FY2025年的5.10亿美元——三年内实现20倍增长。FY2025年营收同比增长76%，虽较FY2024年的269%增速有所放缓，但系基数效应所致。增长轨迹反映出企业对GPU架构之外的AI专用算力基础设施需求正在加速释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68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rs_chart1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图1：Cerebras年度营收趋势（FY2022-FY2025）。数据来源：S-1招股说明书，SEC EDGAR。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003366"/>
          <w:sz w:val="26"/>
        </w:rPr>
        <w:t>营收结构：硬件与云服务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FY2025年营收由硬件系统（3.584亿美元，占比70.3%）和云/推理服务（1.516亿美元，占比29.7%）构成。云服务占比已从H1 2024年的约25%提升至近30%，标志着业务模式的关键转型。云服务板块基于Cerebras Inference推理平台，具备更高的毛利率潜力，并有望形成经常性收入来源。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硬件营收主要来自基于WSE-3晶圆级芯片的CS-3系统销售。云服务营收则来自Cerebras即服务（CaaS）推理部署，客户按算力使用量付费而非直接购买硬件。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27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rs_chart2_seg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7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图2：FY2025营收构成及分部趋势。数据来源：S-1招股说明书，SEC EDGAR。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003366"/>
          <w:sz w:val="26"/>
        </w:rPr>
        <w:t>客户集中度：最关键的风险因素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最为突出的风险在于极端的客户集中度。FY2025年86%的营收来自两家阿联酋关联实体：穆罕默德·本·扎耶德人工智能大学（MBZUAI）贡献62%，G42贡献24%。截至2025年12月31日，仅MBZUAI就占应收账款的77.9%。两家实体被认定为关联方，实质上构成单一国家（阿布扎比）集中风险。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公司招股说明书明确揭示了这一风险。但2026年初签署的OpenAI合约（200亿美元以上）和AWS合作伙伴关系有望大幅改善客户多元化程度。预计到FY2026年，OpenAI可能成为最大营收来源，将集中风险从中东主权实体转向美国超大规模云厂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25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rs_chart6_custom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图3：客户集中度分析。数据来源：S-1招股说明书，SEC EDGAR。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 w:eastAsia="黑体"/>
          <w:b/>
          <w:color w:val="003366"/>
          <w:sz w:val="32"/>
        </w:rPr>
        <w:t>盈利能力与利润率分析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毛利率：规模效益部分被产品组合变化抵消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FY2025年毛利率为39.0%，较FY2024年的42.3%下降330个基点。下降主要反映硬件营收占比上升（硬件毛利率约36-37%），而云服务毛利率更高。但毛利润绝对值增长62%至1.991亿美元，表明营收规模正在推动可观的利润美元增长。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展望未来，公司向云推理方向的战略转型（通过OpenAI和AWS合作伙伴关系推动）有望支撑毛利率回升，因为类SaaS的云服务模式将在营收组合中占据更大比例。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49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rs_chart3_mar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图4：毛利率与毛利润趋势（FY2022-FY2025）。数据来源：S-1招股说明书，SEC EDGAR。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003366"/>
          <w:sz w:val="26"/>
        </w:rPr>
        <w:t>运营费用：持续大规模研发投入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FY2025年总运营费用达3.449亿美元，同比增长54%。研发费用2.433亿美元（占营收47.7%）仍是最大支出项，反映出对下一代晶圆级技术和Cerebras软件平台的持续投资。销售及管理费用增至1.016亿美元，系公司在OpenAI和AWS业务放量前提前扩充商业团队所致。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研发强度已从FY2023年占营收177.9%降至FY2025年的47.7%，但相对半导体同行（通常15-25%）仍属偏高水平，这与公司处于盈利前增长阶段及晶圆级技术资本密集的特性一致。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84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rs_chart4_ope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图5：运营费用构成（FY2022-FY2025）。数据来源：S-1招股说明书，SEC EDGAR。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003366"/>
          <w:sz w:val="26"/>
        </w:rPr>
        <w:t>运营亏损与盈利路径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GAAP运营亏损从FY2024年的1.014亿美元扩大至FY2025年的1.459亿美元，主因运营费用增长54%。运营利润率从-35.0%改善至-28.6%，反映出营收增速快于成本增速带来的经营杠杆效应。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GAAP净利润2.378亿美元具有误导性——包含一次性非现金收益3.633亿美元（来自G42远期合约清偿）。剔除该一次性项目及股权激励费用后，调整后净亏损约为7,570万美元，同比恶化247%。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1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rs_chart5_oplo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图6：运营亏损与运营利润率趋势。数据来源：S-1招股说明书，SEC EDGAR。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 w:eastAsia="黑体"/>
          <w:b/>
          <w:color w:val="003366"/>
          <w:sz w:val="32"/>
        </w:rPr>
        <w:t>技术实力与竞争格局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晶圆级引擎：架构层面的差异化优势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Cerebras的核心竞争优势在于其晶圆级引擎（WSE-3），这是一颗占据整片300mm硅晶圆（21.5cm×21.5cm）的单芯片。关键参数包括：4万亿晶体管、90万AI优化核心、44GB片上SRAM（内存带宽21 PB/s）以及CS-3系统125 PetaFLOPs FP16算力。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通过保持台积电制造的晶圆完整而非切割为独立芯片，Cerebras消除了芯片间通信瓶颈——这是制约GPU集群扩展的主要瓶颈。此架构在AI推理负载（尤其是延迟敏感型应用）上具有显著优势。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2"/>
        </w:rPr>
        <w:t>性能基准对比：Cerebras vs. NVIDIA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val="clear" w:color="auto"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规格参数</w:t>
            </w:r>
          </w:p>
        </w:tc>
        <w:tc>
          <w:tcPr>
            <w:tcW w:type="dxa" w:w="3168"/>
            <w:vAlign w:val="center"/>
            <w:shd w:val="clear" w:color="auto"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Cerebras WSE-3 / CS-3</w:t>
            </w:r>
          </w:p>
        </w:tc>
        <w:tc>
          <w:tcPr>
            <w:tcW w:type="dxa" w:w="3168"/>
            <w:vAlign w:val="center"/>
            <w:shd w:val="clear" w:color="auto"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NVIDIA B200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晶体管数量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4万亿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2,080亿</w:t>
            </w:r>
          </w:p>
        </w:tc>
      </w:tr>
      <w:tr>
        <w:tc>
          <w:tcPr>
            <w:tcW w:type="dxa" w:w="288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AI核心数</w:t>
            </w:r>
          </w:p>
        </w:tc>
        <w:tc>
          <w:tcPr>
            <w:tcW w:type="dxa" w:w="31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900,000</w:t>
            </w:r>
          </w:p>
        </w:tc>
        <w:tc>
          <w:tcPr>
            <w:tcW w:type="dxa" w:w="31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约17,000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片上存储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44 GB SRAM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192 GB HBM3e</w:t>
            </w:r>
          </w:p>
        </w:tc>
      </w:tr>
      <w:tr>
        <w:tc>
          <w:tcPr>
            <w:tcW w:type="dxa" w:w="288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内存带宽</w:t>
            </w:r>
          </w:p>
        </w:tc>
        <w:tc>
          <w:tcPr>
            <w:tcW w:type="dxa" w:w="31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21 PB/s</w:t>
            </w:r>
          </w:p>
        </w:tc>
        <w:tc>
          <w:tcPr>
            <w:tcW w:type="dxa" w:w="31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8 TB/s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推理速度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2,100 tok/s/用户*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约260 tok/s/用户</w:t>
            </w:r>
          </w:p>
        </w:tc>
      </w:tr>
      <w:tr>
        <w:tc>
          <w:tcPr>
            <w:tcW w:type="dxa" w:w="288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系统功耗</w:t>
            </w:r>
          </w:p>
        </w:tc>
        <w:tc>
          <w:tcPr>
            <w:tcW w:type="dxa" w:w="31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约23 kW</w:t>
            </w:r>
          </w:p>
        </w:tc>
        <w:tc>
          <w:tcPr>
            <w:tcW w:type="dxa" w:w="31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约10 kW（每GPU）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外形尺寸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15U机架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8U（每台DGX）</w:t>
            </w:r>
          </w:p>
        </w:tc>
      </w:tr>
    </w:tbl>
    <w:p>
      <w:pPr>
        <w:spacing w:before="40" w:after="80"/>
      </w:pPr>
      <w:r>
        <w:rPr>
          <w:rFonts w:ascii="Times New Roman" w:hAnsi="Times New Roman" w:eastAsia="宋体"/>
          <w:b w:val="0"/>
          <w:i/>
          <w:color w:val="444444"/>
          <w:sz w:val="16"/>
        </w:rPr>
        <w:t>*基于Llama 3.1 70B基准测试。数据来源：Cerebras公司资料；Futurum Group分析报告。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003366"/>
          <w:sz w:val="26"/>
        </w:rPr>
        <w:t>战略合约：OpenAI与AWS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2026年1月公布的OpenAI协议是一份具有变革性意义的合约，总价值超200亿美元。OpenAI承诺购买750兆瓦推理算力（可扩展至2030年的2吉瓦）。OpenAI同时以6%年利率向Cerebras提供10亿美元贷款用于建设专用数据中心，并获得最多3,340万股无投票权股票的认股权证——若OpenAI总支出达300亿美元，认股权证可转换为约10%的Cerebras股权。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AWS合作伙伴关系（2026年3月）将Cerebras芯片引入亚马逊数据中心生态系统，与亚马逊自研的Trainium芯片协同工作。亚马逊投资2.70亿美元购入Cerebras股权作为合作的一部分，验证了Cerebras技术与现有云基础设施的互补性（而非仅限于竞争关系）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003366"/>
          <w:sz w:val="26"/>
        </w:rPr>
        <w:t>台积电依赖：关键供应链风险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Cerebras所有晶圆均由台积电代工，且无正式的长期供应或产能分配承诺。目前没有其他代工厂能够量产如此大尺寸的晶圆级芯片。台积电的产能分配优先倾向于更大体量客户（苹果、英伟达、AMD），可能对Cerebras产生供应约束。任何涉及台湾的地缘政治冲突都将直接影响Cerebras的生产能力。这种无近期替代方案的单一供应商依赖构成重大风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41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rs_chart8_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4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图7：研发投入趋势。数据来源：S-1招股说明书，SEC EDGAR。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 w:eastAsia="黑体"/>
          <w:b/>
          <w:color w:val="003366"/>
          <w:sz w:val="32"/>
        </w:rPr>
        <w:t>估值与财务总览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IPO定价与首日表现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Cerebras于2026年5月13日以每股$185定价IPO，高于此前已上调的$150-$160区间（最初为$115-$125）。发行获约20倍超额认购。公司出售3,000万股A类普通股，募集资金55.5亿美元——为2019年Uber以来最大的美国科技IPO。股票以$350开盘，首日收于$311.07，较发行价溢价68.2%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571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rs_chart10_ip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图8：IPO定价与资本结构。数据来源：CNBC；公司招股说明书。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003366"/>
          <w:sz w:val="26"/>
        </w:rPr>
        <w:t>GAAP与Non-GAAP盈利能力差异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GAAP与Non-GAAP结果之间的差异对投资者至关重要。GAAP净利润2.378亿美元包含一次性非现金收益3.633亿美元（来自G42远期合约清偿）。剔除该一次性项目和股权激励费用后，公司调整后净亏损约为7,570万美元。经营业务本身仍未实现盈利，FY2025年运营亏损为1.459亿美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15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rs_chart7_netinc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1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图9：GAAP与Non-GAAP净利润对比。数据来源：S-1招股说明书，SEC EDGAR。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003366"/>
          <w:sz w:val="26"/>
        </w:rPr>
        <w:t>估值分析：高溢价反映增长预期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以当前股价$279.72计算，Cerebras的滞后市销率约为131倍——显著高于AI半导体同行（英伟达约29倍，AMD约9倍，博通约18倍）。高溢价反映了：(1)具有变革性的OpenAI和AWS合约（可能推动FY2027年营收达20-30亿美元以上）；(2)晶圆级技术的独特性，缺乏直接竞争对手；(3)更广泛的AI基础设施资本开支超级周期。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然而，高溢价也隐含着巨大的执行风险。公司必须成功推进OpenAI合约落地、实现客户多元化、管理台积电供应约束并实现运营盈利——同时还要与英伟达根深蒂固的GPU生态系统（CUDA）竞争。鉴于公司刚完成IPO，目前尚无卖方分析师覆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35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rs_chart9_valu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图10：市销率对比——Cerebras vs. AI半导体同行。数据来源：StockAnalysis.com；Yahoo Finance。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 w:eastAsia="黑体"/>
          <w:b/>
          <w:color w:val="003366"/>
          <w:sz w:val="32"/>
        </w:rPr>
        <w:t>投资论点与风险因素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看多逻辑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OpenAI合约（200亿美元以上）重塑营收增长轨迹——有望推动FY2027-2028年年营收达20-30亿美元以上。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晶圆级架构在推理负载方面相对GPU集群具备真正的性能差异化优势。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云/推理服务模式推动利润率扩张——随着营收组合从硬件转向经常性收入。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AWS合作伙伴关系验证技术实力，并打开全球最大云基础设施生态系统的入口。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AI推理需求增速超过训练需求，Cerebras正处于增长拐点的有利位置。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003366"/>
          <w:sz w:val="26"/>
        </w:rPr>
        <w:t>看空逻辑 / 主要风险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极端客户集中度：FY2025年86%营收来自两家阿联酋实体；OpenAI合约转移风险但未消除集中度问题。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台积电单一供应商依赖，无正式产能分配承诺，且无其他代工厂具备晶圆级生产能力。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运营亏损持续：FY2025年运营亏损1.459亿美元；实现盈利需要显著的营收规模提升和利润率扩张。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估值溢价（约131倍市销率）几乎不容许执行失误或市场情绪转变。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英伟达竞争反应：Blackwell架构和软件生态系统（CUDA）构成强大的竞争护城河。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地缘政治/出口管制风险：阿联酋客户群及潜在受限市场扩张可能触发监管审查。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OpenAI关系复杂性：OpenAI持有可转换为约10%股权的认股权证；贷款与股权结构形成绑定风险。</w:t>
      </w:r>
    </w:p>
    <w:p>
      <w:pPr>
        <w:spacing w:before="40" w:after="40"/>
        <w:pBdr>
          <w:bottom w:val="single" w:sz="4" w:space="1" w:color="003366"/>
        </w:pBdr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003366"/>
          <w:sz w:val="26"/>
        </w:rPr>
        <w:t>核心财务指标汇总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vAlign w:val="center"/>
            <w:shd w:val="clear" w:color="auto"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vAlign w:val="center"/>
            <w:shd w:val="clear" w:color="auto"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2160"/>
            <w:vAlign w:val="center"/>
            <w:shd w:val="clear" w:color="auto"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2160"/>
            <w:vAlign w:val="center"/>
            <w:shd w:val="clear" w:color="auto"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营收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$0.79亿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$2.90亿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$5.10亿</w:t>
            </w:r>
          </w:p>
        </w:tc>
      </w:tr>
      <w:tr>
        <w:tc>
          <w:tcPr>
            <w:tcW w:type="dxa" w:w="288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营收增速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+220%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+269%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+76%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毛利率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33.5%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42.3%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39.0%</w:t>
            </w:r>
          </w:p>
        </w:tc>
      </w:tr>
      <w:tr>
        <w:tc>
          <w:tcPr>
            <w:tcW w:type="dxa" w:w="288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运营亏损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($1.34亿)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($1.01亿)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($1.46亿)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运营利润率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-170.1%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-35.0%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-28.6%</w:t>
            </w:r>
          </w:p>
        </w:tc>
      </w:tr>
      <w:tr>
        <w:tc>
          <w:tcPr>
            <w:tcW w:type="dxa" w:w="288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研发费用占营收比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177.9%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54.5%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47.7%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GAAP净利润/(亏损)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($1.27亿)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($4.82亿)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$2.38亿*</w:t>
            </w:r>
          </w:p>
        </w:tc>
      </w:tr>
      <w:tr>
        <w:tc>
          <w:tcPr>
            <w:tcW w:type="dxa" w:w="288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摊薄每股收益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($2.92)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($9.90)</w:t>
            </w:r>
          </w:p>
        </w:tc>
        <w:tc>
          <w:tcPr>
            <w:tcW w:type="dxa" w:w="216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444444"/>
                <w:sz w:val="18"/>
              </w:rPr>
              <w:t>$1.38*</w:t>
            </w:r>
          </w:p>
        </w:tc>
      </w:tr>
    </w:tbl>
    <w:p>
      <w:pPr>
        <w:spacing w:before="40" w:after="120"/>
      </w:pPr>
      <w:r>
        <w:rPr>
          <w:rFonts w:ascii="Times New Roman" w:hAnsi="Times New Roman" w:eastAsia="宋体"/>
          <w:b w:val="0"/>
          <w:i/>
          <w:color w:val="444444"/>
          <w:sz w:val="16"/>
        </w:rPr>
        <w:t>*包含一次性非现金收益3.633亿美元。调整后净亏损：7,570万美元。</w:t>
      </w:r>
    </w:p>
    <w:p>
      <w:pPr>
        <w:spacing w:before="40" w:after="40"/>
        <w:pBdr>
          <w:bottom w:val="single" w:sz="4" w:space="1" w:color="003366"/>
        </w:pBdr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003366"/>
          <w:sz w:val="26"/>
        </w:rPr>
        <w:t>资料来源与参考文献</w:t>
      </w:r>
    </w:p>
    <w:p>
      <w:pPr>
        <w:spacing w:before="40" w:after="40"/>
      </w:pPr>
      <w:r>
        <w:rPr>
          <w:rFonts w:ascii="Times New Roman" w:hAnsi="Times New Roman"/>
          <w:b/>
          <w:color w:val="003366"/>
          <w:sz w:val="18"/>
        </w:rPr>
        <w:t>IPO/财报资料：</w:t>
        <w:br/>
      </w:r>
    </w:p>
    <w:p>
      <w:pPr>
        <w:spacing w:before="20" w:after="20"/>
      </w:pPr>
      <w:r>
        <w:rPr>
          <w:rFonts w:ascii="Times New Roman" w:hAnsi="Times New Roman"/>
          <w:color w:val="444444"/>
          <w:sz w:val="18"/>
        </w:rPr>
        <w:t>• S-1注册声明（2026年4月17日提交）：</w:t>
      </w:r>
      <w:hyperlink r:id="rId19">
        <w:r>
          <w:rPr>
            <w:rStyle w:val="Hyperlink"/>
            <w:color w:val="0066CC"/>
            <w:u w:val="single"/>
            <w:sz w:val="20"/>
          </w:rPr>
          <w:t>SEC EDGAR文件</w:t>
        </w:r>
      </w:hyperlink>
    </w:p>
    <w:p>
      <w:pPr>
        <w:spacing w:before="20" w:after="20"/>
      </w:pPr>
      <w:r>
        <w:rPr>
          <w:rFonts w:ascii="Times New Roman" w:hAnsi="Times New Roman"/>
          <w:color w:val="444444"/>
          <w:sz w:val="18"/>
        </w:rPr>
        <w:t>• 修订S-1（2026年5月4日提交）：</w:t>
      </w:r>
      <w:hyperlink r:id="rId20">
        <w:r>
          <w:rPr>
            <w:rStyle w:val="Hyperlink"/>
            <w:color w:val="0066CC"/>
            <w:u w:val="single"/>
            <w:sz w:val="20"/>
          </w:rPr>
          <w:t>SEC EDGAR</w:t>
        </w:r>
      </w:hyperlink>
    </w:p>
    <w:p>
      <w:pPr>
        <w:spacing w:before="20" w:after="20"/>
      </w:pPr>
      <w:r>
        <w:rPr>
          <w:rFonts w:ascii="Times New Roman" w:hAnsi="Times New Roman"/>
          <w:color w:val="444444"/>
          <w:sz w:val="18"/>
        </w:rPr>
        <w:t>• IPO定价报道（2026年5月14日）：</w:t>
      </w:r>
      <w:hyperlink r:id="rId21">
        <w:r>
          <w:rPr>
            <w:rStyle w:val="Hyperlink"/>
            <w:color w:val="0066CC"/>
            <w:u w:val="single"/>
            <w:sz w:val="20"/>
          </w:rPr>
          <w:t>CNBC报道</w:t>
        </w:r>
      </w:hyperlink>
    </w:p>
    <w:p>
      <w:pPr>
        <w:spacing w:before="20" w:after="20"/>
      </w:pPr>
      <w:r>
        <w:rPr>
          <w:rFonts w:ascii="Times New Roman" w:hAnsi="Times New Roman"/>
          <w:color w:val="444444"/>
          <w:sz w:val="18"/>
        </w:rPr>
        <w:t>• 财务数据：</w:t>
      </w:r>
      <w:hyperlink r:id="rId22">
        <w:r>
          <w:rPr>
            <w:rStyle w:val="Hyperlink"/>
            <w:color w:val="0066CC"/>
            <w:u w:val="single"/>
            <w:sz w:val="20"/>
          </w:rPr>
          <w:t>StockAnalysis.com — CBRS财务数据</w:t>
        </w:r>
      </w:hyperlink>
    </w:p>
    <w:p>
      <w:pPr>
        <w:spacing w:before="20" w:after="20"/>
      </w:pPr>
      <w:r>
        <w:rPr>
          <w:rFonts w:ascii="Times New Roman" w:hAnsi="Times New Roman"/>
          <w:color w:val="444444"/>
          <w:sz w:val="18"/>
        </w:rPr>
        <w:t>• S-1深度解析报告：</w:t>
      </w:r>
      <w:hyperlink r:id="rId23">
        <w:r>
          <w:rPr>
            <w:rStyle w:val="Hyperlink"/>
            <w:color w:val="0066CC"/>
            <w:u w:val="single"/>
            <w:sz w:val="20"/>
          </w:rPr>
          <w:t>Futurum Group</w:t>
        </w:r>
      </w:hyperlink>
    </w:p>
    <w:p>
      <w:pPr>
        <w:spacing w:before="20" w:after="20"/>
      </w:pPr>
      <w:r>
        <w:rPr>
          <w:rFonts w:ascii="Times New Roman" w:hAnsi="Times New Roman"/>
          <w:color w:val="444444"/>
          <w:sz w:val="18"/>
        </w:rPr>
        <w:t>• 市场数据：Yahoo Finance，yfinance API（截至2026年5月16日）</w:t>
      </w:r>
    </w:p>
    <w:p>
      <w:pPr>
        <w:spacing w:before="200" w:after="0"/>
      </w:pPr>
      <w:r>
        <w:rPr>
          <w:rFonts w:ascii="Times New Roman" w:hAnsi="Times New Roman" w:eastAsia="宋体"/>
          <w:b w:val="0"/>
          <w:i w:val="0"/>
          <w:color w:val="444444"/>
          <w:sz w:val="12"/>
        </w:rPr>
      </w:r>
    </w:p>
    <w:p>
      <w:pPr>
        <w:spacing w:before="120" w:after="40"/>
      </w:pPr>
      <w:r>
        <w:rPr>
          <w:rFonts w:ascii="Times New Roman" w:hAnsi="Times New Roman" w:eastAsia="宋体"/>
          <w:b w:val="0"/>
          <w:i/>
          <w:color w:val="444444"/>
          <w:sz w:val="14"/>
        </w:rPr>
        <w:t>免责声明：本报告仅供参考，不构成投资建议。所有财务数据均来源于公开文件和第三方数据提供商。过往业绩不代表未来表现。投资者在做出投资决策前应自行进行尽职调查。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sec.gov/Archives/edgar/data/2021728/000162828026025762/cerebras-sx1april2026.htm" TargetMode="External"/><Relationship Id="rId20" Type="http://schemas.openxmlformats.org/officeDocument/2006/relationships/hyperlink" Target="https://www.sec.gov/cgi-bin/browse-edgar?action=getcompany&amp;CIK=0002021728&amp;type=S-1&amp;dateb=&amp;owner=include&amp;count=40" TargetMode="External"/><Relationship Id="rId21" Type="http://schemas.openxmlformats.org/officeDocument/2006/relationships/hyperlink" Target="https://www.cnbc.com/2026/05/14/cerebras-cbrs-stock-trade-nasdaq-ipo.html" TargetMode="External"/><Relationship Id="rId22" Type="http://schemas.openxmlformats.org/officeDocument/2006/relationships/hyperlink" Target="https://stockanalysis.com/stocks/cbrs/financials/" TargetMode="External"/><Relationship Id="rId23" Type="http://schemas.openxmlformats.org/officeDocument/2006/relationships/hyperlink" Target="https://futurumgroup.com/insights/cerebras-s-1-teardown-is-the-23b-wafer-scale-ipo-the-end-of-gpu-homogene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