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40"/>
      </w:pPr>
      <w:r>
        <w:rPr>
          <w:rFonts w:ascii="Times New Roman" w:hAnsi="Times New Roman"/>
          <w:b/>
          <w:color w:val="003366"/>
          <w:sz w:val="40"/>
        </w:rPr>
        <w:t>CEREBRAS SYSTEMS, INC.</w:t>
      </w:r>
    </w:p>
    <w:p>
      <w:pPr>
        <w:spacing w:before="40" w:after="40"/>
      </w:pPr>
      <w:r>
        <w:rPr>
          <w:rFonts w:ascii="Times New Roman" w:hAnsi="Times New Roman"/>
          <w:b w:val="0"/>
          <w:color w:val="0066CC"/>
          <w:sz w:val="28"/>
        </w:rPr>
        <w:t>IPO &amp; FY2025 Financial Review</w:t>
      </w:r>
    </w:p>
    <w:p>
      <w:pPr>
        <w:spacing w:before="80" w:after="40"/>
      </w:pPr>
      <w:r>
        <w:rPr>
          <w:rFonts w:ascii="Times New Roman" w:hAnsi="Times New Roman"/>
          <w:b/>
          <w:i w:val="0"/>
          <w:color w:val="003366"/>
          <w:sz w:val="20"/>
        </w:rPr>
        <w:t>NASDAQ: CBRS  |  Current Price: $279.72  |  Market Cap: $60.2B  |  Sector: AI Infrastructure / Semiconductors</w:t>
      </w:r>
    </w:p>
    <w:p>
      <w:pPr>
        <w:spacing w:before="40" w:after="120"/>
      </w:pPr>
      <w:r>
        <w:rPr>
          <w:rFonts w:ascii="Times New Roman" w:hAnsi="Times New Roman"/>
          <w:b w:val="0"/>
          <w:i w:val="0"/>
          <w:color w:val="444444"/>
          <w:sz w:val="20"/>
        </w:rPr>
        <w:t>IPO Date: May 14, 2026  |  IPO Price: $185  |  Day-1 Close: $311.07 (+68.2%)  |  Employees: ~708</w:t>
      </w:r>
    </w:p>
    <w:p>
      <w:pPr>
        <w:spacing w:before="40" w:after="40"/>
        <w:pBdr>
          <w:bottom w:val="single" w:sz="4" w:space="1" w:color="003366"/>
        </w:pBdr>
      </w:pPr>
    </w:p>
    <w:p>
      <w:pPr>
        <w:spacing w:before="160" w:after="80"/>
      </w:pPr>
      <w:r>
        <w:rPr>
          <w:rFonts w:ascii="Times New Roman" w:hAnsi="Times New Roman"/>
          <w:b/>
          <w:color w:val="003366"/>
          <w:sz w:val="26"/>
        </w:rPr>
        <w:t>KEY TAKEAWAYS</w:t>
      </w:r>
    </w:p>
    <w:p>
      <w:pPr>
        <w:pStyle w:val="ListBullet"/>
        <w:spacing w:before="20" w:after="20"/>
      </w:pPr>
      <w:r>
        <w:rPr>
          <w:rFonts w:ascii="Times New Roman" w:hAnsi="Times New Roman"/>
          <w:color w:val="444444"/>
          <w:sz w:val="20"/>
        </w:rPr>
        <w:t>FY2025 revenue reached $510M (+76% YoY), driven by hardware systems ($358M) and cloud/inference services ($152M).</w:t>
      </w:r>
    </w:p>
    <w:p>
      <w:pPr>
        <w:pStyle w:val="ListBullet"/>
        <w:spacing w:before="20" w:after="20"/>
      </w:pPr>
      <w:r>
        <w:rPr>
          <w:rFonts w:ascii="Times New Roman" w:hAnsi="Times New Roman"/>
          <w:color w:val="444444"/>
          <w:sz w:val="20"/>
        </w:rPr>
        <w:t>GAAP net income of $238M includes a one-time $363M non-cash gain from G42 forward-contract extinguishment; adjusted net loss of $(76)M.</w:t>
      </w:r>
    </w:p>
    <w:p>
      <w:pPr>
        <w:pStyle w:val="ListBullet"/>
        <w:spacing w:before="20" w:after="20"/>
      </w:pPr>
      <w:r>
        <w:rPr>
          <w:rFonts w:ascii="Times New Roman" w:hAnsi="Times New Roman"/>
          <w:color w:val="444444"/>
          <w:sz w:val="20"/>
        </w:rPr>
        <w:t>Gross margin of 39.0% in FY2025, down 330bps from FY2024 (42.3%) as hardware mix shifted; cloud segment carries higher margin potential.</w:t>
      </w:r>
    </w:p>
    <w:p>
      <w:pPr>
        <w:pStyle w:val="ListBullet"/>
        <w:spacing w:before="20" w:after="20"/>
      </w:pPr>
      <w:r>
        <w:rPr>
          <w:rFonts w:ascii="Times New Roman" w:hAnsi="Times New Roman"/>
          <w:color w:val="444444"/>
          <w:sz w:val="20"/>
        </w:rPr>
        <w:t>Mega-contracts secured: OpenAI $20B+ multi-year deal (750MW inference capacity); AWS multi-year partnership with $270M equity investment.</w:t>
      </w:r>
    </w:p>
    <w:p>
      <w:pPr>
        <w:pStyle w:val="ListBullet"/>
        <w:spacing w:before="20" w:after="20"/>
      </w:pPr>
      <w:r>
        <w:rPr>
          <w:rFonts w:ascii="Times New Roman" w:hAnsi="Times New Roman"/>
          <w:color w:val="444444"/>
          <w:sz w:val="20"/>
        </w:rPr>
        <w:t>Customer concentration remains the key risk: 86% of FY2025 revenue from UAE-linked entities (MBZUAI 62%, G42 24%).</w:t>
      </w:r>
    </w:p>
    <w:p>
      <w:pPr>
        <w:pStyle w:val="ListBullet"/>
        <w:spacing w:before="20" w:after="20"/>
      </w:pPr>
      <w:r>
        <w:rPr>
          <w:rFonts w:ascii="Times New Roman" w:hAnsi="Times New Roman"/>
          <w:color w:val="444444"/>
          <w:sz w:val="20"/>
        </w:rPr>
        <w:t>IPO raised $5.55B at $185/share — the largest US tech IPO since Uber (2019). Stock opened at $350, closed Day 1 at $311.</w:t>
      </w:r>
    </w:p>
    <w:p>
      <w:pPr>
        <w:spacing w:before="40" w:after="40"/>
        <w:pBdr>
          <w:bottom w:val="single" w:sz="4" w:space="1" w:color="003366"/>
        </w:pBdr>
      </w:pPr>
    </w:p>
    <w:p>
      <w:pPr>
        <w:spacing w:before="160" w:after="80"/>
      </w:pPr>
      <w:r>
        <w:rPr>
          <w:rFonts w:ascii="Times New Roman" w:hAnsi="Times New Roman"/>
          <w:b/>
          <w:color w:val="003366"/>
          <w:sz w:val="26"/>
        </w:rPr>
        <w:t>FY2025 RESULTS SNAPSHOT</w:t>
      </w:r>
    </w:p>
    <w:tbl>
      <w:tblPr>
        <w:tblW w:type="auto" w:w="0"/>
        <w:jc w:val="center"/>
        <w:tblLook w:firstColumn="1" w:firstRow="1" w:lastColumn="0" w:lastRow="0" w:noHBand="0" w:noVBand="1" w:val="04A0"/>
      </w:tblPr>
      <w:tblGrid>
        <w:gridCol w:w="2351"/>
        <w:gridCol w:w="2351"/>
        <w:gridCol w:w="2351"/>
        <w:gridCol w:w="2351"/>
      </w:tblGrid>
      <w:tr>
        <w:tc>
          <w:tcPr>
            <w:tcW w:type="dxa" w:w="2880"/>
            <w:vAlign w:val="center"/>
            <w:shd w:val="clear" w:color="auto" w:fill="003366"/>
          </w:tcPr>
          <w:p>
            <w:pPr>
              <w:jc w:val="center"/>
            </w:pPr>
            <w:r/>
            <w:r>
              <w:rPr>
                <w:rFonts w:ascii="Times New Roman" w:hAnsi="Times New Roman"/>
                <w:b/>
                <w:color w:val="FFFFFF"/>
                <w:sz w:val="18"/>
              </w:rPr>
              <w:t>Metric</w:t>
            </w:r>
          </w:p>
        </w:tc>
        <w:tc>
          <w:tcPr>
            <w:tcW w:type="dxa" w:w="2160"/>
            <w:vAlign w:val="center"/>
            <w:shd w:val="clear" w:color="auto" w:fill="003366"/>
          </w:tcPr>
          <w:p>
            <w:pPr>
              <w:jc w:val="center"/>
            </w:pPr>
            <w:r/>
            <w:r>
              <w:rPr>
                <w:rFonts w:ascii="Times New Roman" w:hAnsi="Times New Roman"/>
                <w:b/>
                <w:color w:val="FFFFFF"/>
                <w:sz w:val="18"/>
              </w:rPr>
              <w:t>FY2025</w:t>
            </w:r>
          </w:p>
        </w:tc>
        <w:tc>
          <w:tcPr>
            <w:tcW w:type="dxa" w:w="2160"/>
            <w:vAlign w:val="center"/>
            <w:shd w:val="clear" w:color="auto" w:fill="003366"/>
          </w:tcPr>
          <w:p>
            <w:pPr>
              <w:jc w:val="center"/>
            </w:pPr>
            <w:r/>
            <w:r>
              <w:rPr>
                <w:rFonts w:ascii="Times New Roman" w:hAnsi="Times New Roman"/>
                <w:b/>
                <w:color w:val="FFFFFF"/>
                <w:sz w:val="18"/>
              </w:rPr>
              <w:t>FY2024</w:t>
            </w:r>
          </w:p>
        </w:tc>
        <w:tc>
          <w:tcPr>
            <w:tcW w:type="dxa" w:w="2160"/>
            <w:vAlign w:val="center"/>
            <w:shd w:val="clear" w:color="auto" w:fill="003366"/>
          </w:tcPr>
          <w:p>
            <w:pPr>
              <w:jc w:val="center"/>
            </w:pPr>
            <w:r/>
            <w:r>
              <w:rPr>
                <w:rFonts w:ascii="Times New Roman" w:hAnsi="Times New Roman"/>
                <w:b/>
                <w:color w:val="FFFFFF"/>
                <w:sz w:val="18"/>
              </w:rPr>
              <w:t>YoY Change</w:t>
            </w:r>
          </w:p>
        </w:tc>
      </w:tr>
      <w:tr>
        <w:tc>
          <w:tcPr>
            <w:tcW w:type="dxa" w:w="2880"/>
            <w:vAlign w:val="center"/>
          </w:tcPr>
          <w:p>
            <w:pPr>
              <w:jc w:val="center"/>
            </w:pPr>
            <w:r/>
            <w:r>
              <w:rPr>
                <w:rFonts w:ascii="Times New Roman" w:hAnsi="Times New Roman"/>
                <w:color w:val="444444"/>
                <w:sz w:val="18"/>
              </w:rPr>
              <w:t>Revenue</w:t>
            </w:r>
          </w:p>
        </w:tc>
        <w:tc>
          <w:tcPr>
            <w:tcW w:type="dxa" w:w="2160"/>
            <w:vAlign w:val="center"/>
          </w:tcPr>
          <w:p>
            <w:pPr>
              <w:jc w:val="center"/>
            </w:pPr>
            <w:r/>
            <w:r>
              <w:rPr>
                <w:rFonts w:ascii="Times New Roman" w:hAnsi="Times New Roman"/>
                <w:color w:val="444444"/>
                <w:sz w:val="18"/>
              </w:rPr>
              <w:t>$510.0M</w:t>
            </w:r>
          </w:p>
        </w:tc>
        <w:tc>
          <w:tcPr>
            <w:tcW w:type="dxa" w:w="2160"/>
            <w:vAlign w:val="center"/>
          </w:tcPr>
          <w:p>
            <w:pPr>
              <w:jc w:val="center"/>
            </w:pPr>
            <w:r/>
            <w:r>
              <w:rPr>
                <w:rFonts w:ascii="Times New Roman" w:hAnsi="Times New Roman"/>
                <w:color w:val="444444"/>
                <w:sz w:val="18"/>
              </w:rPr>
              <w:t>$290.3M</w:t>
            </w:r>
          </w:p>
        </w:tc>
        <w:tc>
          <w:tcPr>
            <w:tcW w:type="dxa" w:w="2160"/>
            <w:vAlign w:val="center"/>
          </w:tcPr>
          <w:p>
            <w:pPr>
              <w:jc w:val="center"/>
            </w:pPr>
            <w:r/>
            <w:r>
              <w:rPr>
                <w:rFonts w:ascii="Times New Roman" w:hAnsi="Times New Roman"/>
                <w:color w:val="444444"/>
                <w:sz w:val="18"/>
              </w:rPr>
              <w:t>+75.7%</w:t>
            </w:r>
          </w:p>
        </w:tc>
      </w:tr>
      <w:tr>
        <w:tc>
          <w:tcPr>
            <w:tcW w:type="dxa" w:w="2880"/>
            <w:vAlign w:val="center"/>
            <w:shd w:val="clear" w:color="auto" w:fill="F0F0F0"/>
          </w:tcPr>
          <w:p>
            <w:pPr>
              <w:jc w:val="center"/>
            </w:pPr>
            <w:r/>
            <w:r>
              <w:rPr>
                <w:rFonts w:ascii="Times New Roman" w:hAnsi="Times New Roman"/>
                <w:color w:val="444444"/>
                <w:sz w:val="18"/>
              </w:rPr>
              <w:t>Gross Profit</w:t>
            </w:r>
          </w:p>
        </w:tc>
        <w:tc>
          <w:tcPr>
            <w:tcW w:type="dxa" w:w="2160"/>
            <w:vAlign w:val="center"/>
            <w:shd w:val="clear" w:color="auto" w:fill="F0F0F0"/>
          </w:tcPr>
          <w:p>
            <w:pPr>
              <w:jc w:val="center"/>
            </w:pPr>
            <w:r/>
            <w:r>
              <w:rPr>
                <w:rFonts w:ascii="Times New Roman" w:hAnsi="Times New Roman"/>
                <w:color w:val="444444"/>
                <w:sz w:val="18"/>
              </w:rPr>
              <w:t>$199.1M</w:t>
            </w:r>
          </w:p>
        </w:tc>
        <w:tc>
          <w:tcPr>
            <w:tcW w:type="dxa" w:w="2160"/>
            <w:vAlign w:val="center"/>
            <w:shd w:val="clear" w:color="auto" w:fill="F0F0F0"/>
          </w:tcPr>
          <w:p>
            <w:pPr>
              <w:jc w:val="center"/>
            </w:pPr>
            <w:r/>
            <w:r>
              <w:rPr>
                <w:rFonts w:ascii="Times New Roman" w:hAnsi="Times New Roman"/>
                <w:color w:val="444444"/>
                <w:sz w:val="18"/>
              </w:rPr>
              <w:t>$122.7M</w:t>
            </w:r>
          </w:p>
        </w:tc>
        <w:tc>
          <w:tcPr>
            <w:tcW w:type="dxa" w:w="2160"/>
            <w:vAlign w:val="center"/>
            <w:shd w:val="clear" w:color="auto" w:fill="F0F0F0"/>
          </w:tcPr>
          <w:p>
            <w:pPr>
              <w:jc w:val="center"/>
            </w:pPr>
            <w:r/>
            <w:r>
              <w:rPr>
                <w:rFonts w:ascii="Times New Roman" w:hAnsi="Times New Roman"/>
                <w:color w:val="444444"/>
                <w:sz w:val="18"/>
              </w:rPr>
              <w:t>+62.2%</w:t>
            </w:r>
          </w:p>
        </w:tc>
      </w:tr>
      <w:tr>
        <w:tc>
          <w:tcPr>
            <w:tcW w:type="dxa" w:w="2880"/>
            <w:vAlign w:val="center"/>
          </w:tcPr>
          <w:p>
            <w:pPr>
              <w:jc w:val="center"/>
            </w:pPr>
            <w:r/>
            <w:r>
              <w:rPr>
                <w:rFonts w:ascii="Times New Roman" w:hAnsi="Times New Roman"/>
                <w:color w:val="444444"/>
                <w:sz w:val="18"/>
              </w:rPr>
              <w:t>Gross Margin</w:t>
            </w:r>
          </w:p>
        </w:tc>
        <w:tc>
          <w:tcPr>
            <w:tcW w:type="dxa" w:w="2160"/>
            <w:vAlign w:val="center"/>
          </w:tcPr>
          <w:p>
            <w:pPr>
              <w:jc w:val="center"/>
            </w:pPr>
            <w:r/>
            <w:r>
              <w:rPr>
                <w:rFonts w:ascii="Times New Roman" w:hAnsi="Times New Roman"/>
                <w:color w:val="444444"/>
                <w:sz w:val="18"/>
              </w:rPr>
              <w:t>39.0%</w:t>
            </w:r>
          </w:p>
        </w:tc>
        <w:tc>
          <w:tcPr>
            <w:tcW w:type="dxa" w:w="2160"/>
            <w:vAlign w:val="center"/>
          </w:tcPr>
          <w:p>
            <w:pPr>
              <w:jc w:val="center"/>
            </w:pPr>
            <w:r/>
            <w:r>
              <w:rPr>
                <w:rFonts w:ascii="Times New Roman" w:hAnsi="Times New Roman"/>
                <w:color w:val="444444"/>
                <w:sz w:val="18"/>
              </w:rPr>
              <w:t>42.3%</w:t>
            </w:r>
          </w:p>
        </w:tc>
        <w:tc>
          <w:tcPr>
            <w:tcW w:type="dxa" w:w="2160"/>
            <w:vAlign w:val="center"/>
          </w:tcPr>
          <w:p>
            <w:pPr>
              <w:jc w:val="center"/>
            </w:pPr>
            <w:r/>
            <w:r>
              <w:rPr>
                <w:rFonts w:ascii="Times New Roman" w:hAnsi="Times New Roman"/>
                <w:color w:val="444444"/>
                <w:sz w:val="18"/>
              </w:rPr>
              <w:t>-330 bps</w:t>
            </w:r>
          </w:p>
        </w:tc>
      </w:tr>
      <w:tr>
        <w:tc>
          <w:tcPr>
            <w:tcW w:type="dxa" w:w="2880"/>
            <w:vAlign w:val="center"/>
            <w:shd w:val="clear" w:color="auto" w:fill="F0F0F0"/>
          </w:tcPr>
          <w:p>
            <w:pPr>
              <w:jc w:val="center"/>
            </w:pPr>
            <w:r/>
            <w:r>
              <w:rPr>
                <w:rFonts w:ascii="Times New Roman" w:hAnsi="Times New Roman"/>
                <w:color w:val="444444"/>
                <w:sz w:val="18"/>
              </w:rPr>
              <w:t>R&amp;D Expense</w:t>
            </w:r>
          </w:p>
        </w:tc>
        <w:tc>
          <w:tcPr>
            <w:tcW w:type="dxa" w:w="2160"/>
            <w:vAlign w:val="center"/>
            <w:shd w:val="clear" w:color="auto" w:fill="F0F0F0"/>
          </w:tcPr>
          <w:p>
            <w:pPr>
              <w:jc w:val="center"/>
            </w:pPr>
            <w:r/>
            <w:r>
              <w:rPr>
                <w:rFonts w:ascii="Times New Roman" w:hAnsi="Times New Roman"/>
                <w:color w:val="444444"/>
                <w:sz w:val="18"/>
              </w:rPr>
              <w:t>$243.3M</w:t>
            </w:r>
          </w:p>
        </w:tc>
        <w:tc>
          <w:tcPr>
            <w:tcW w:type="dxa" w:w="2160"/>
            <w:vAlign w:val="center"/>
            <w:shd w:val="clear" w:color="auto" w:fill="F0F0F0"/>
          </w:tcPr>
          <w:p>
            <w:pPr>
              <w:jc w:val="center"/>
            </w:pPr>
            <w:r/>
            <w:r>
              <w:rPr>
                <w:rFonts w:ascii="Times New Roman" w:hAnsi="Times New Roman"/>
                <w:color w:val="444444"/>
                <w:sz w:val="18"/>
              </w:rPr>
              <w:t>$158.2M</w:t>
            </w:r>
          </w:p>
        </w:tc>
        <w:tc>
          <w:tcPr>
            <w:tcW w:type="dxa" w:w="2160"/>
            <w:vAlign w:val="center"/>
            <w:shd w:val="clear" w:color="auto" w:fill="F0F0F0"/>
          </w:tcPr>
          <w:p>
            <w:pPr>
              <w:jc w:val="center"/>
            </w:pPr>
            <w:r/>
            <w:r>
              <w:rPr>
                <w:rFonts w:ascii="Times New Roman" w:hAnsi="Times New Roman"/>
                <w:color w:val="444444"/>
                <w:sz w:val="18"/>
              </w:rPr>
              <w:t>+53.8%</w:t>
            </w:r>
          </w:p>
        </w:tc>
      </w:tr>
      <w:tr>
        <w:tc>
          <w:tcPr>
            <w:tcW w:type="dxa" w:w="2880"/>
            <w:vAlign w:val="center"/>
          </w:tcPr>
          <w:p>
            <w:pPr>
              <w:jc w:val="center"/>
            </w:pPr>
            <w:r/>
            <w:r>
              <w:rPr>
                <w:rFonts w:ascii="Times New Roman" w:hAnsi="Times New Roman"/>
                <w:color w:val="444444"/>
                <w:sz w:val="18"/>
              </w:rPr>
              <w:t>SG&amp;A Expense</w:t>
            </w:r>
          </w:p>
        </w:tc>
        <w:tc>
          <w:tcPr>
            <w:tcW w:type="dxa" w:w="2160"/>
            <w:vAlign w:val="center"/>
          </w:tcPr>
          <w:p>
            <w:pPr>
              <w:jc w:val="center"/>
            </w:pPr>
            <w:r/>
            <w:r>
              <w:rPr>
                <w:rFonts w:ascii="Times New Roman" w:hAnsi="Times New Roman"/>
                <w:color w:val="444444"/>
                <w:sz w:val="18"/>
              </w:rPr>
              <w:t>$101.6M</w:t>
            </w:r>
          </w:p>
        </w:tc>
        <w:tc>
          <w:tcPr>
            <w:tcW w:type="dxa" w:w="2160"/>
            <w:vAlign w:val="center"/>
          </w:tcPr>
          <w:p>
            <w:pPr>
              <w:jc w:val="center"/>
            </w:pPr>
            <w:r/>
            <w:r>
              <w:rPr>
                <w:rFonts w:ascii="Times New Roman" w:hAnsi="Times New Roman"/>
                <w:color w:val="444444"/>
                <w:sz w:val="18"/>
              </w:rPr>
              <w:t>$65.9M</w:t>
            </w:r>
          </w:p>
        </w:tc>
        <w:tc>
          <w:tcPr>
            <w:tcW w:type="dxa" w:w="2160"/>
            <w:vAlign w:val="center"/>
          </w:tcPr>
          <w:p>
            <w:pPr>
              <w:jc w:val="center"/>
            </w:pPr>
            <w:r/>
            <w:r>
              <w:rPr>
                <w:rFonts w:ascii="Times New Roman" w:hAnsi="Times New Roman"/>
                <w:color w:val="444444"/>
                <w:sz w:val="18"/>
              </w:rPr>
              <w:t>+54.1%</w:t>
            </w:r>
          </w:p>
        </w:tc>
      </w:tr>
      <w:tr>
        <w:tc>
          <w:tcPr>
            <w:tcW w:type="dxa" w:w="2880"/>
            <w:vAlign w:val="center"/>
            <w:shd w:val="clear" w:color="auto" w:fill="F0F0F0"/>
          </w:tcPr>
          <w:p>
            <w:pPr>
              <w:jc w:val="center"/>
            </w:pPr>
            <w:r/>
            <w:r>
              <w:rPr>
                <w:rFonts w:ascii="Times New Roman" w:hAnsi="Times New Roman"/>
                <w:color w:val="444444"/>
                <w:sz w:val="18"/>
              </w:rPr>
              <w:t>Operating Loss</w:t>
            </w:r>
          </w:p>
        </w:tc>
        <w:tc>
          <w:tcPr>
            <w:tcW w:type="dxa" w:w="2160"/>
            <w:vAlign w:val="center"/>
            <w:shd w:val="clear" w:color="auto" w:fill="F0F0F0"/>
          </w:tcPr>
          <w:p>
            <w:pPr>
              <w:jc w:val="center"/>
            </w:pPr>
            <w:r/>
            <w:r>
              <w:rPr>
                <w:rFonts w:ascii="Times New Roman" w:hAnsi="Times New Roman"/>
                <w:color w:val="444444"/>
                <w:sz w:val="18"/>
              </w:rPr>
              <w:t>($145.9M)</w:t>
            </w:r>
          </w:p>
        </w:tc>
        <w:tc>
          <w:tcPr>
            <w:tcW w:type="dxa" w:w="2160"/>
            <w:vAlign w:val="center"/>
            <w:shd w:val="clear" w:color="auto" w:fill="F0F0F0"/>
          </w:tcPr>
          <w:p>
            <w:pPr>
              <w:jc w:val="center"/>
            </w:pPr>
            <w:r/>
            <w:r>
              <w:rPr>
                <w:rFonts w:ascii="Times New Roman" w:hAnsi="Times New Roman"/>
                <w:color w:val="444444"/>
                <w:sz w:val="18"/>
              </w:rPr>
              <w:t>($101.4M)</w:t>
            </w:r>
          </w:p>
        </w:tc>
        <w:tc>
          <w:tcPr>
            <w:tcW w:type="dxa" w:w="2160"/>
            <w:vAlign w:val="center"/>
            <w:shd w:val="clear" w:color="auto" w:fill="F0F0F0"/>
          </w:tcPr>
          <w:p>
            <w:pPr>
              <w:jc w:val="center"/>
            </w:pPr>
            <w:r/>
            <w:r>
              <w:rPr>
                <w:rFonts w:ascii="Times New Roman" w:hAnsi="Times New Roman"/>
                <w:color w:val="444444"/>
                <w:sz w:val="18"/>
              </w:rPr>
              <w:t>Widened</w:t>
            </w:r>
          </w:p>
        </w:tc>
      </w:tr>
      <w:tr>
        <w:tc>
          <w:tcPr>
            <w:tcW w:type="dxa" w:w="2880"/>
            <w:vAlign w:val="center"/>
          </w:tcPr>
          <w:p>
            <w:pPr>
              <w:jc w:val="center"/>
            </w:pPr>
            <w:r/>
            <w:r>
              <w:rPr>
                <w:rFonts w:ascii="Times New Roman" w:hAnsi="Times New Roman"/>
                <w:color w:val="444444"/>
                <w:sz w:val="18"/>
              </w:rPr>
              <w:t>GAAP Net Income</w:t>
            </w:r>
          </w:p>
        </w:tc>
        <w:tc>
          <w:tcPr>
            <w:tcW w:type="dxa" w:w="2160"/>
            <w:vAlign w:val="center"/>
          </w:tcPr>
          <w:p>
            <w:pPr>
              <w:jc w:val="center"/>
            </w:pPr>
            <w:r/>
            <w:r>
              <w:rPr>
                <w:rFonts w:ascii="Times New Roman" w:hAnsi="Times New Roman"/>
                <w:color w:val="444444"/>
                <w:sz w:val="18"/>
              </w:rPr>
              <w:t>$237.8M</w:t>
            </w:r>
          </w:p>
        </w:tc>
        <w:tc>
          <w:tcPr>
            <w:tcW w:type="dxa" w:w="2160"/>
            <w:vAlign w:val="center"/>
          </w:tcPr>
          <w:p>
            <w:pPr>
              <w:jc w:val="center"/>
            </w:pPr>
            <w:r/>
            <w:r>
              <w:rPr>
                <w:rFonts w:ascii="Times New Roman" w:hAnsi="Times New Roman"/>
                <w:color w:val="444444"/>
                <w:sz w:val="18"/>
              </w:rPr>
              <w:t>($481.6M)</w:t>
            </w:r>
          </w:p>
        </w:tc>
        <w:tc>
          <w:tcPr>
            <w:tcW w:type="dxa" w:w="2160"/>
            <w:vAlign w:val="center"/>
          </w:tcPr>
          <w:p>
            <w:pPr>
              <w:jc w:val="center"/>
            </w:pPr>
            <w:r/>
            <w:r>
              <w:rPr>
                <w:rFonts w:ascii="Times New Roman" w:hAnsi="Times New Roman"/>
                <w:color w:val="444444"/>
                <w:sz w:val="18"/>
              </w:rPr>
              <w:t>Swing to profit*</w:t>
            </w:r>
          </w:p>
        </w:tc>
      </w:tr>
      <w:tr>
        <w:tc>
          <w:tcPr>
            <w:tcW w:type="dxa" w:w="2880"/>
            <w:vAlign w:val="center"/>
            <w:shd w:val="clear" w:color="auto" w:fill="F0F0F0"/>
          </w:tcPr>
          <w:p>
            <w:pPr>
              <w:jc w:val="center"/>
            </w:pPr>
            <w:r/>
            <w:r>
              <w:rPr>
                <w:rFonts w:ascii="Times New Roman" w:hAnsi="Times New Roman"/>
                <w:color w:val="444444"/>
                <w:sz w:val="18"/>
              </w:rPr>
              <w:t>Adj. Net Loss</w:t>
            </w:r>
          </w:p>
        </w:tc>
        <w:tc>
          <w:tcPr>
            <w:tcW w:type="dxa" w:w="2160"/>
            <w:vAlign w:val="center"/>
            <w:shd w:val="clear" w:color="auto" w:fill="F0F0F0"/>
          </w:tcPr>
          <w:p>
            <w:pPr>
              <w:jc w:val="center"/>
            </w:pPr>
            <w:r/>
            <w:r>
              <w:rPr>
                <w:rFonts w:ascii="Times New Roman" w:hAnsi="Times New Roman"/>
                <w:color w:val="444444"/>
                <w:sz w:val="18"/>
              </w:rPr>
              <w:t>($75.7M)</w:t>
            </w:r>
          </w:p>
        </w:tc>
        <w:tc>
          <w:tcPr>
            <w:tcW w:type="dxa" w:w="2160"/>
            <w:vAlign w:val="center"/>
            <w:shd w:val="clear" w:color="auto" w:fill="F0F0F0"/>
          </w:tcPr>
          <w:p>
            <w:pPr>
              <w:jc w:val="center"/>
            </w:pPr>
            <w:r/>
            <w:r>
              <w:rPr>
                <w:rFonts w:ascii="Times New Roman" w:hAnsi="Times New Roman"/>
                <w:color w:val="444444"/>
                <w:sz w:val="18"/>
              </w:rPr>
              <w:t>—</w:t>
            </w:r>
          </w:p>
        </w:tc>
        <w:tc>
          <w:tcPr>
            <w:tcW w:type="dxa" w:w="2160"/>
            <w:vAlign w:val="center"/>
            <w:shd w:val="clear" w:color="auto" w:fill="F0F0F0"/>
          </w:tcPr>
          <w:p>
            <w:pPr>
              <w:jc w:val="center"/>
            </w:pPr>
            <w:r/>
            <w:r>
              <w:rPr>
                <w:rFonts w:ascii="Times New Roman" w:hAnsi="Times New Roman"/>
                <w:color w:val="444444"/>
                <w:sz w:val="18"/>
              </w:rPr>
              <w:t>—</w:t>
            </w:r>
          </w:p>
        </w:tc>
      </w:tr>
      <w:tr>
        <w:tc>
          <w:tcPr>
            <w:tcW w:type="dxa" w:w="2880"/>
            <w:vAlign w:val="center"/>
          </w:tcPr>
          <w:p>
            <w:pPr>
              <w:jc w:val="center"/>
            </w:pPr>
            <w:r/>
            <w:r>
              <w:rPr>
                <w:rFonts w:ascii="Times New Roman" w:hAnsi="Times New Roman"/>
                <w:color w:val="444444"/>
                <w:sz w:val="18"/>
              </w:rPr>
              <w:t>EPS (Diluted)</w:t>
            </w:r>
          </w:p>
        </w:tc>
        <w:tc>
          <w:tcPr>
            <w:tcW w:type="dxa" w:w="2160"/>
            <w:vAlign w:val="center"/>
          </w:tcPr>
          <w:p>
            <w:pPr>
              <w:jc w:val="center"/>
            </w:pPr>
            <w:r/>
            <w:r>
              <w:rPr>
                <w:rFonts w:ascii="Times New Roman" w:hAnsi="Times New Roman"/>
                <w:color w:val="444444"/>
                <w:sz w:val="18"/>
              </w:rPr>
              <w:t>$1.38</w:t>
            </w:r>
          </w:p>
        </w:tc>
        <w:tc>
          <w:tcPr>
            <w:tcW w:type="dxa" w:w="2160"/>
            <w:vAlign w:val="center"/>
          </w:tcPr>
          <w:p>
            <w:pPr>
              <w:jc w:val="center"/>
            </w:pPr>
            <w:r/>
            <w:r>
              <w:rPr>
                <w:rFonts w:ascii="Times New Roman" w:hAnsi="Times New Roman"/>
                <w:color w:val="444444"/>
                <w:sz w:val="18"/>
              </w:rPr>
              <w:t>($9.90)</w:t>
            </w:r>
          </w:p>
        </w:tc>
        <w:tc>
          <w:tcPr>
            <w:tcW w:type="dxa" w:w="2160"/>
            <w:vAlign w:val="center"/>
          </w:tcPr>
          <w:p>
            <w:pPr>
              <w:jc w:val="center"/>
            </w:pPr>
            <w:r/>
            <w:r>
              <w:rPr>
                <w:rFonts w:ascii="Times New Roman" w:hAnsi="Times New Roman"/>
                <w:color w:val="444444"/>
                <w:sz w:val="18"/>
              </w:rPr>
              <w:t>Swing</w:t>
            </w:r>
          </w:p>
        </w:tc>
      </w:tr>
    </w:tbl>
    <w:p>
      <w:pPr>
        <w:spacing w:before="40" w:after="40"/>
      </w:pPr>
      <w:r>
        <w:rPr>
          <w:rFonts w:ascii="Times New Roman" w:hAnsi="Times New Roman"/>
          <w:b w:val="0"/>
          <w:i/>
          <w:color w:val="444444"/>
          <w:sz w:val="16"/>
        </w:rPr>
        <w:t>*GAAP net income includes $363.3M one-time non-cash gain from extinguishment of G42 forward-contract liability.</w:t>
      </w:r>
    </w:p>
    <w:p>
      <w:pPr>
        <w:spacing w:before="20" w:after="80"/>
      </w:pPr>
      <w:r>
        <w:rPr>
          <w:rFonts w:ascii="Times New Roman" w:hAnsi="Times New Roman"/>
          <w:b w:val="0"/>
          <w:i/>
          <w:color w:val="444444"/>
          <w:sz w:val="16"/>
        </w:rPr>
        <w:t>Source: Cerebras Systems S-1 Filing (SEC EDGAR, April 17, 2026); StockAnalysis.com.</w:t>
      </w:r>
    </w:p>
    <w:p>
      <w:r>
        <w:br w:type="page"/>
      </w:r>
    </w:p>
    <w:p>
      <w:pPr>
        <w:spacing w:before="120" w:after="120"/>
      </w:pPr>
      <w:r>
        <w:rPr>
          <w:rFonts w:ascii="Times New Roman" w:hAnsi="Times New Roman"/>
          <w:b/>
          <w:color w:val="003366"/>
          <w:sz w:val="32"/>
        </w:rPr>
        <w:t>REVENUE ANALYSIS</w:t>
      </w:r>
    </w:p>
    <w:p>
      <w:pPr>
        <w:spacing w:before="120" w:after="80"/>
      </w:pPr>
      <w:r>
        <w:rPr>
          <w:rFonts w:ascii="Times New Roman" w:hAnsi="Times New Roman"/>
          <w:b/>
          <w:color w:val="003366"/>
          <w:sz w:val="26"/>
        </w:rPr>
        <w:t>Revenue Trajectory: From Startup to $510M</w:t>
      </w:r>
    </w:p>
    <w:p>
      <w:pPr>
        <w:spacing w:before="40" w:after="40"/>
      </w:pPr>
      <w:r>
        <w:rPr>
          <w:rFonts w:ascii="Times New Roman" w:hAnsi="Times New Roman"/>
          <w:b w:val="0"/>
          <w:i w:val="0"/>
          <w:color w:val="444444"/>
          <w:sz w:val="20"/>
        </w:rPr>
        <w:t>Cerebras Systems has demonstrated exceptional top-line growth, scaling from $24.6M in FY2022 to $510.0M in FY2025 — a 20x increase in just three years. The FY2025 revenue of $510.0M represented 76% year-over-year growth, decelerating from the 269% growth achieved in FY2024, but reflecting a much larger base effect. The growth trajectory underscores accelerating enterprise demand for AI-specific compute infrastructure beyond conventional GPU architectures.</w:t>
      </w:r>
    </w:p>
    <w:p>
      <w:pPr>
        <w:jc w:val="center"/>
      </w:pPr>
      <w:r>
        <w:drawing>
          <wp:inline xmlns:a="http://schemas.openxmlformats.org/drawingml/2006/main" xmlns:pic="http://schemas.openxmlformats.org/drawingml/2006/picture">
            <wp:extent cx="5029200" cy="3268276"/>
            <wp:docPr id="1" name="Picture 1"/>
            <wp:cNvGraphicFramePr>
              <a:graphicFrameLocks noChangeAspect="1"/>
            </wp:cNvGraphicFramePr>
            <a:graphic>
              <a:graphicData uri="http://schemas.openxmlformats.org/drawingml/2006/picture">
                <pic:pic>
                  <pic:nvPicPr>
                    <pic:cNvPr id="0" name="cbrs_chart1_revenue.png"/>
                    <pic:cNvPicPr/>
                  </pic:nvPicPr>
                  <pic:blipFill>
                    <a:blip r:embed="rId9"/>
                    <a:stretch>
                      <a:fillRect/>
                    </a:stretch>
                  </pic:blipFill>
                  <pic:spPr>
                    <a:xfrm>
                      <a:off x="0" y="0"/>
                      <a:ext cx="5029200" cy="3268276"/>
                    </a:xfrm>
                    <a:prstGeom prst="rect"/>
                  </pic:spPr>
                </pic:pic>
              </a:graphicData>
            </a:graphic>
          </wp:inline>
        </w:drawing>
      </w:r>
    </w:p>
    <w:p>
      <w:pPr>
        <w:spacing w:before="40" w:after="120"/>
        <w:jc w:val="center"/>
      </w:pPr>
      <w:r>
        <w:rPr>
          <w:i/>
          <w:color w:val="444444"/>
          <w:sz w:val="16"/>
        </w:rPr>
        <w:t>Figure 1: Cerebras Annual Revenue (FY2022–FY2025). Source: S-1 Filing, SEC EDGAR.</w:t>
      </w:r>
    </w:p>
    <w:p>
      <w:pPr>
        <w:spacing w:before="160" w:after="80"/>
      </w:pPr>
      <w:r>
        <w:rPr>
          <w:rFonts w:ascii="Times New Roman" w:hAnsi="Times New Roman"/>
          <w:b/>
          <w:color w:val="003366"/>
          <w:sz w:val="26"/>
        </w:rPr>
        <w:t>Revenue Composition: Hardware vs. Cloud Services</w:t>
      </w:r>
    </w:p>
    <w:p>
      <w:pPr>
        <w:spacing w:before="40" w:after="40"/>
      </w:pPr>
      <w:r>
        <w:rPr>
          <w:rFonts w:ascii="Times New Roman" w:hAnsi="Times New Roman"/>
          <w:b w:val="0"/>
          <w:i w:val="0"/>
          <w:color w:val="444444"/>
          <w:sz w:val="20"/>
        </w:rPr>
        <w:t>FY2025 revenue breaks down into hardware systems ($358.4M, 70.3% of total) and cloud/inference services ($151.6M, 29.7%). This represents a meaningful shift: cloud services grew to nearly 30% of the mix, up from approximately 25% in H1 2024. The cloud segment, powered by the Cerebras Inference platform, carries higher gross margin potential and offers a path to recurring revenue.</w:t>
      </w:r>
    </w:p>
    <w:p>
      <w:pPr>
        <w:spacing w:before="40" w:after="40"/>
      </w:pPr>
      <w:r>
        <w:rPr>
          <w:rFonts w:ascii="Times New Roman" w:hAnsi="Times New Roman"/>
          <w:b w:val="0"/>
          <w:i w:val="0"/>
          <w:color w:val="444444"/>
          <w:sz w:val="20"/>
        </w:rPr>
        <w:t>Hardware revenue reflects sales of CS-3 systems built around the WSE-3 wafer-scale chip. Cloud revenue comes from Cerebras-as-a-Service inference deployments where customers pay for compute capacity rather than purchasing hardware outright.</w:t>
      </w:r>
    </w:p>
    <w:p>
      <w:pPr>
        <w:jc w:val="center"/>
      </w:pPr>
      <w:r>
        <w:drawing>
          <wp:inline xmlns:a="http://schemas.openxmlformats.org/drawingml/2006/main" xmlns:pic="http://schemas.openxmlformats.org/drawingml/2006/picture">
            <wp:extent cx="5303520" cy="2827567"/>
            <wp:docPr id="2" name="Picture 2"/>
            <wp:cNvGraphicFramePr>
              <a:graphicFrameLocks noChangeAspect="1"/>
            </wp:cNvGraphicFramePr>
            <a:graphic>
              <a:graphicData uri="http://schemas.openxmlformats.org/drawingml/2006/picture">
                <pic:pic>
                  <pic:nvPicPr>
                    <pic:cNvPr id="0" name="cbrs_chart2_segment.png"/>
                    <pic:cNvPicPr/>
                  </pic:nvPicPr>
                  <pic:blipFill>
                    <a:blip r:embed="rId10"/>
                    <a:stretch>
                      <a:fillRect/>
                    </a:stretch>
                  </pic:blipFill>
                  <pic:spPr>
                    <a:xfrm>
                      <a:off x="0" y="0"/>
                      <a:ext cx="5303520" cy="2827567"/>
                    </a:xfrm>
                    <a:prstGeom prst="rect"/>
                  </pic:spPr>
                </pic:pic>
              </a:graphicData>
            </a:graphic>
          </wp:inline>
        </w:drawing>
      </w:r>
    </w:p>
    <w:p>
      <w:pPr>
        <w:spacing w:before="40" w:after="120"/>
        <w:jc w:val="center"/>
      </w:pPr>
      <w:r>
        <w:rPr>
          <w:i/>
          <w:color w:val="444444"/>
          <w:sz w:val="16"/>
        </w:rPr>
        <w:t>Figure 2: FY2025 Revenue by Segment &amp; Segment Trends. Source: S-1 Filing, SEC EDGAR.</w:t>
      </w:r>
    </w:p>
    <w:p>
      <w:pPr>
        <w:spacing w:before="160" w:after="80"/>
      </w:pPr>
      <w:r>
        <w:rPr>
          <w:rFonts w:ascii="Times New Roman" w:hAnsi="Times New Roman"/>
          <w:b/>
          <w:color w:val="003366"/>
          <w:sz w:val="26"/>
        </w:rPr>
        <w:t>Customer Concentration: The Defining Risk</w:t>
      </w:r>
    </w:p>
    <w:p>
      <w:pPr>
        <w:spacing w:before="40" w:after="40"/>
      </w:pPr>
      <w:r>
        <w:rPr>
          <w:rFonts w:ascii="Times New Roman" w:hAnsi="Times New Roman"/>
          <w:b w:val="0"/>
          <w:i w:val="0"/>
          <w:color w:val="444444"/>
          <w:sz w:val="20"/>
        </w:rPr>
        <w:t>The most significant risk factor is extreme customer concentration. In FY2025, 86% of revenue came from two UAE-linked entities: Mohamed bin Zayed University of Artificial Intelligence (MBZUAI) at 62% and G42 at 24%. MBZUAI alone accounted for 77.9% of accounts receivable as of December 31, 2025. These entities are considered related parties with respect to each other, effectively representing single-country (Abu Dhabi) concentration.</w:t>
      </w:r>
    </w:p>
    <w:p>
      <w:pPr>
        <w:spacing w:before="40" w:after="40"/>
      </w:pPr>
      <w:r>
        <w:rPr>
          <w:rFonts w:ascii="Times New Roman" w:hAnsi="Times New Roman"/>
          <w:b w:val="0"/>
          <w:i w:val="0"/>
          <w:color w:val="444444"/>
          <w:sz w:val="20"/>
        </w:rPr>
        <w:t>The company's own prospectus acknowledges this risk explicitly. However, the signing of the OpenAI contract ($20B+) and the AWS partnership in early 2026 is expected to dramatically diversify the customer base going forward. By FY2026E, OpenAI could represent the majority of revenue, shifting concentration from Middle Eastern sovereign entities to US-based hyperscalers.</w:t>
      </w:r>
    </w:p>
    <w:p>
      <w:pPr>
        <w:jc w:val="center"/>
      </w:pPr>
      <w:r>
        <w:drawing>
          <wp:inline xmlns:a="http://schemas.openxmlformats.org/drawingml/2006/main" xmlns:pic="http://schemas.openxmlformats.org/drawingml/2006/picture">
            <wp:extent cx="5303520" cy="2825616"/>
            <wp:docPr id="3" name="Picture 3"/>
            <wp:cNvGraphicFramePr>
              <a:graphicFrameLocks noChangeAspect="1"/>
            </wp:cNvGraphicFramePr>
            <a:graphic>
              <a:graphicData uri="http://schemas.openxmlformats.org/drawingml/2006/picture">
                <pic:pic>
                  <pic:nvPicPr>
                    <pic:cNvPr id="0" name="cbrs_chart6_customers.png"/>
                    <pic:cNvPicPr/>
                  </pic:nvPicPr>
                  <pic:blipFill>
                    <a:blip r:embed="rId11"/>
                    <a:stretch>
                      <a:fillRect/>
                    </a:stretch>
                  </pic:blipFill>
                  <pic:spPr>
                    <a:xfrm>
                      <a:off x="0" y="0"/>
                      <a:ext cx="5303520" cy="2825616"/>
                    </a:xfrm>
                    <a:prstGeom prst="rect"/>
                  </pic:spPr>
                </pic:pic>
              </a:graphicData>
            </a:graphic>
          </wp:inline>
        </w:drawing>
      </w:r>
    </w:p>
    <w:p>
      <w:pPr>
        <w:spacing w:before="40" w:after="120"/>
        <w:jc w:val="center"/>
      </w:pPr>
      <w:r>
        <w:rPr>
          <w:i/>
          <w:color w:val="444444"/>
          <w:sz w:val="16"/>
        </w:rPr>
        <w:t>Figure 3: Customer Concentration Analysis. Source: S-1 Filing, SEC EDGAR.</w:t>
      </w:r>
    </w:p>
    <w:p>
      <w:r>
        <w:br w:type="page"/>
      </w:r>
    </w:p>
    <w:p>
      <w:pPr>
        <w:spacing w:before="120" w:after="120"/>
      </w:pPr>
      <w:r>
        <w:rPr>
          <w:rFonts w:ascii="Times New Roman" w:hAnsi="Times New Roman"/>
          <w:b/>
          <w:color w:val="003366"/>
          <w:sz w:val="32"/>
        </w:rPr>
        <w:t>PROFITABILITY &amp; MARGINS</w:t>
      </w:r>
    </w:p>
    <w:p>
      <w:pPr>
        <w:spacing w:before="120" w:after="80"/>
      </w:pPr>
      <w:r>
        <w:rPr>
          <w:rFonts w:ascii="Times New Roman" w:hAnsi="Times New Roman"/>
          <w:b/>
          <w:color w:val="003366"/>
          <w:sz w:val="26"/>
        </w:rPr>
        <w:t>Gross Margin: Scale Benefits Partially Offset by Mix Shift</w:t>
      </w:r>
    </w:p>
    <w:p>
      <w:pPr>
        <w:spacing w:before="40" w:after="40"/>
      </w:pPr>
      <w:r>
        <w:rPr>
          <w:rFonts w:ascii="Times New Roman" w:hAnsi="Times New Roman"/>
          <w:b w:val="0"/>
          <w:i w:val="0"/>
          <w:color w:val="444444"/>
          <w:sz w:val="20"/>
        </w:rPr>
        <w:t>Gross margin declined 330 basis points to 39.0% in FY2025 from 42.3% in FY2024. The decline primarily reflects a higher mix of hardware revenue (which carries ~36-37% gross margins) relative to cloud services (which carry higher margins). However, the absolute gross profit expanded 62% to $199.1M, demonstrating that revenue scale is driving meaningful profit dollar growth even as margin percentages compress slightly.</w:t>
      </w:r>
    </w:p>
    <w:p>
      <w:pPr>
        <w:spacing w:before="40" w:after="40"/>
      </w:pPr>
      <w:r>
        <w:rPr>
          <w:rFonts w:ascii="Times New Roman" w:hAnsi="Times New Roman"/>
          <w:b w:val="0"/>
          <w:i w:val="0"/>
          <w:color w:val="444444"/>
          <w:sz w:val="20"/>
        </w:rPr>
        <w:t>Looking ahead, the company's strategic pivot toward cloud inference (via the OpenAI and AWS partnerships) should support gross margin expansion as the recurring-revenue, software-like cloud model becomes a larger portion of the mix.</w:t>
      </w:r>
    </w:p>
    <w:p>
      <w:pPr>
        <w:jc w:val="center"/>
      </w:pPr>
      <w:r>
        <w:drawing>
          <wp:inline xmlns:a="http://schemas.openxmlformats.org/drawingml/2006/main" xmlns:pic="http://schemas.openxmlformats.org/drawingml/2006/picture">
            <wp:extent cx="5029200" cy="3144944"/>
            <wp:docPr id="4" name="Picture 4"/>
            <wp:cNvGraphicFramePr>
              <a:graphicFrameLocks noChangeAspect="1"/>
            </wp:cNvGraphicFramePr>
            <a:graphic>
              <a:graphicData uri="http://schemas.openxmlformats.org/drawingml/2006/picture">
                <pic:pic>
                  <pic:nvPicPr>
                    <pic:cNvPr id="0" name="cbrs_chart3_margin.png"/>
                    <pic:cNvPicPr/>
                  </pic:nvPicPr>
                  <pic:blipFill>
                    <a:blip r:embed="rId12"/>
                    <a:stretch>
                      <a:fillRect/>
                    </a:stretch>
                  </pic:blipFill>
                  <pic:spPr>
                    <a:xfrm>
                      <a:off x="0" y="0"/>
                      <a:ext cx="5029200" cy="3144944"/>
                    </a:xfrm>
                    <a:prstGeom prst="rect"/>
                  </pic:spPr>
                </pic:pic>
              </a:graphicData>
            </a:graphic>
          </wp:inline>
        </w:drawing>
      </w:r>
    </w:p>
    <w:p>
      <w:pPr>
        <w:spacing w:before="40" w:after="120"/>
        <w:jc w:val="center"/>
      </w:pPr>
      <w:r>
        <w:rPr>
          <w:i/>
          <w:color w:val="444444"/>
          <w:sz w:val="16"/>
        </w:rPr>
        <w:t>Figure 4: Gross Margin &amp; Gross Profit Trends (FY2022–FY2025). Source: S-1 Filing, SEC EDGAR.</w:t>
      </w:r>
    </w:p>
    <w:p>
      <w:pPr>
        <w:spacing w:before="160" w:after="80"/>
      </w:pPr>
      <w:r>
        <w:rPr>
          <w:rFonts w:ascii="Times New Roman" w:hAnsi="Times New Roman"/>
          <w:b/>
          <w:color w:val="003366"/>
          <w:sz w:val="26"/>
        </w:rPr>
        <w:t>Operating Expenses: Heavy R&amp;D Investment</w:t>
      </w:r>
    </w:p>
    <w:p>
      <w:pPr>
        <w:spacing w:before="40" w:after="40"/>
      </w:pPr>
      <w:r>
        <w:rPr>
          <w:rFonts w:ascii="Times New Roman" w:hAnsi="Times New Roman"/>
          <w:b w:val="0"/>
          <w:i w:val="0"/>
          <w:color w:val="444444"/>
          <w:sz w:val="20"/>
        </w:rPr>
        <w:t>Total operating expenses reached $344.9M in FY2025, up 54% from $224.2M in FY2024. R&amp;D spending of $243.3M (47.7% of revenue) remains the dominant expense category, reflecting continued investment in next-generation wafer-scale technology and the Cerebras Software Platform. SG&amp;A grew to $101.6M as the company scaled its commercial organization ahead of the OpenAI and AWS ramp.</w:t>
      </w:r>
    </w:p>
    <w:p>
      <w:pPr>
        <w:spacing w:before="40" w:after="40"/>
      </w:pPr>
      <w:r>
        <w:rPr>
          <w:rFonts w:ascii="Times New Roman" w:hAnsi="Times New Roman"/>
          <w:b w:val="0"/>
          <w:i w:val="0"/>
          <w:color w:val="444444"/>
          <w:sz w:val="20"/>
        </w:rPr>
        <w:t>While R&amp;D intensity has declined from 177.9% of revenue in FY2023 to 47.7% in FY2025, it remains elevated relative to semiconductor peers (typically 15-25%), consistent with the company's pre-profitability growth stage and the capital-intensive nature of developing wafer-scale technology.</w:t>
      </w:r>
    </w:p>
    <w:p>
      <w:pPr>
        <w:jc w:val="center"/>
      </w:pPr>
      <w:r>
        <w:drawing>
          <wp:inline xmlns:a="http://schemas.openxmlformats.org/drawingml/2006/main" xmlns:pic="http://schemas.openxmlformats.org/drawingml/2006/picture">
            <wp:extent cx="5029200" cy="3338431"/>
            <wp:docPr id="5" name="Picture 5"/>
            <wp:cNvGraphicFramePr>
              <a:graphicFrameLocks noChangeAspect="1"/>
            </wp:cNvGraphicFramePr>
            <a:graphic>
              <a:graphicData uri="http://schemas.openxmlformats.org/drawingml/2006/picture">
                <pic:pic>
                  <pic:nvPicPr>
                    <pic:cNvPr id="0" name="cbrs_chart4_opex.png"/>
                    <pic:cNvPicPr/>
                  </pic:nvPicPr>
                  <pic:blipFill>
                    <a:blip r:embed="rId13"/>
                    <a:stretch>
                      <a:fillRect/>
                    </a:stretch>
                  </pic:blipFill>
                  <pic:spPr>
                    <a:xfrm>
                      <a:off x="0" y="0"/>
                      <a:ext cx="5029200" cy="3338431"/>
                    </a:xfrm>
                    <a:prstGeom prst="rect"/>
                  </pic:spPr>
                </pic:pic>
              </a:graphicData>
            </a:graphic>
          </wp:inline>
        </w:drawing>
      </w:r>
    </w:p>
    <w:p>
      <w:pPr>
        <w:spacing w:before="40" w:after="120"/>
        <w:jc w:val="center"/>
      </w:pPr>
      <w:r>
        <w:rPr>
          <w:i/>
          <w:color w:val="444444"/>
          <w:sz w:val="16"/>
        </w:rPr>
        <w:t>Figure 5: Operating Expense Breakdown (FY2022–FY2025). Source: S-1 Filing, SEC EDGAR.</w:t>
      </w:r>
    </w:p>
    <w:p>
      <w:pPr>
        <w:spacing w:before="160" w:after="80"/>
      </w:pPr>
      <w:r>
        <w:rPr>
          <w:rFonts w:ascii="Times New Roman" w:hAnsi="Times New Roman"/>
          <w:b/>
          <w:color w:val="003366"/>
          <w:sz w:val="26"/>
        </w:rPr>
        <w:t>Operating Loss &amp; Path to Profitability</w:t>
      </w:r>
    </w:p>
    <w:p>
      <w:pPr>
        <w:spacing w:before="40" w:after="40"/>
      </w:pPr>
      <w:r>
        <w:rPr>
          <w:rFonts w:ascii="Times New Roman" w:hAnsi="Times New Roman"/>
          <w:b w:val="0"/>
          <w:i w:val="0"/>
          <w:color w:val="444444"/>
          <w:sz w:val="20"/>
        </w:rPr>
        <w:t>The GAAP operating loss widened to $(145.9M) in FY2025 from $(101.4M) in FY2024, primarily driven by the 54% increase in operating expenses. Operating margin improved to -28.6% from -35.0%, reflecting operating leverage as revenue scaled faster than costs.</w:t>
      </w:r>
    </w:p>
    <w:p>
      <w:pPr>
        <w:spacing w:before="40" w:after="40"/>
      </w:pPr>
      <w:r>
        <w:rPr>
          <w:rFonts w:ascii="Times New Roman" w:hAnsi="Times New Roman"/>
          <w:b w:val="0"/>
          <w:i w:val="0"/>
          <w:color w:val="444444"/>
          <w:sz w:val="20"/>
        </w:rPr>
        <w:t>The GAAP net income of $237.8M is misleading — it includes a one-time, non-cash gain of $363.3M from extinguishing a forward-contract liability tied to G42's original investment. Stripping out this item plus stock-based compensation, the non-GAAP adjusted net loss was approximately $(75.7M), representing a 247% deterioration year-over-year on an adjusted basis.</w:t>
      </w:r>
    </w:p>
    <w:p>
      <w:pPr>
        <w:jc w:val="center"/>
      </w:pPr>
      <w:r>
        <w:drawing>
          <wp:inline xmlns:a="http://schemas.openxmlformats.org/drawingml/2006/main" xmlns:pic="http://schemas.openxmlformats.org/drawingml/2006/picture">
            <wp:extent cx="5029200" cy="3051720"/>
            <wp:docPr id="6" name="Picture 6"/>
            <wp:cNvGraphicFramePr>
              <a:graphicFrameLocks noChangeAspect="1"/>
            </wp:cNvGraphicFramePr>
            <a:graphic>
              <a:graphicData uri="http://schemas.openxmlformats.org/drawingml/2006/picture">
                <pic:pic>
                  <pic:nvPicPr>
                    <pic:cNvPr id="0" name="cbrs_chart5_oploss.png"/>
                    <pic:cNvPicPr/>
                  </pic:nvPicPr>
                  <pic:blipFill>
                    <a:blip r:embed="rId14"/>
                    <a:stretch>
                      <a:fillRect/>
                    </a:stretch>
                  </pic:blipFill>
                  <pic:spPr>
                    <a:xfrm>
                      <a:off x="0" y="0"/>
                      <a:ext cx="5029200" cy="3051720"/>
                    </a:xfrm>
                    <a:prstGeom prst="rect"/>
                  </pic:spPr>
                </pic:pic>
              </a:graphicData>
            </a:graphic>
          </wp:inline>
        </w:drawing>
      </w:r>
    </w:p>
    <w:p>
      <w:pPr>
        <w:spacing w:before="40" w:after="120"/>
        <w:jc w:val="center"/>
      </w:pPr>
      <w:r>
        <w:rPr>
          <w:i/>
          <w:color w:val="444444"/>
          <w:sz w:val="16"/>
        </w:rPr>
        <w:t>Figure 6: Operating Loss &amp; Operating Margin Trends. Source: S-1 Filing, SEC EDGAR.</w:t>
      </w:r>
    </w:p>
    <w:p>
      <w:r>
        <w:br w:type="page"/>
      </w:r>
    </w:p>
    <w:p>
      <w:pPr>
        <w:spacing w:before="120" w:after="120"/>
      </w:pPr>
      <w:r>
        <w:rPr>
          <w:rFonts w:ascii="Times New Roman" w:hAnsi="Times New Roman"/>
          <w:b/>
          <w:color w:val="003366"/>
          <w:sz w:val="32"/>
        </w:rPr>
        <w:t>TECHNOLOGY &amp; COMPETITIVE POSITION</w:t>
      </w:r>
    </w:p>
    <w:p>
      <w:pPr>
        <w:spacing w:before="120" w:after="80"/>
      </w:pPr>
      <w:r>
        <w:rPr>
          <w:rFonts w:ascii="Times New Roman" w:hAnsi="Times New Roman"/>
          <w:b/>
          <w:color w:val="003366"/>
          <w:sz w:val="26"/>
        </w:rPr>
        <w:t>Wafer-Scale Engine: Architectural Differentiation</w:t>
      </w:r>
    </w:p>
    <w:p>
      <w:pPr>
        <w:spacing w:before="40" w:after="40"/>
      </w:pPr>
      <w:r>
        <w:rPr>
          <w:rFonts w:ascii="Times New Roman" w:hAnsi="Times New Roman"/>
          <w:b w:val="0"/>
          <w:i w:val="0"/>
          <w:color w:val="444444"/>
          <w:sz w:val="20"/>
        </w:rPr>
        <w:t>Cerebras' core competitive advantage lies in its Wafer-Scale Engine (WSE-3), a single chip that occupies an entire 300mm silicon wafer (21.5cm x 21.5cm). Key specifications include 4 trillion transistors, 900,000 AI-optimized cores, 44GB of on-chip SRAM with 21 PB/s memory bandwidth, and 125 PetaFLOPs FP16 performance in the CS-3 system form factor.</w:t>
      </w:r>
    </w:p>
    <w:p>
      <w:pPr>
        <w:spacing w:before="40" w:after="40"/>
      </w:pPr>
      <w:r>
        <w:rPr>
          <w:rFonts w:ascii="Times New Roman" w:hAnsi="Times New Roman"/>
          <w:b w:val="0"/>
          <w:i w:val="0"/>
          <w:color w:val="444444"/>
          <w:sz w:val="20"/>
        </w:rPr>
        <w:t>By keeping the TSMC-manufactured wafer whole rather than dicing it into discrete chips, Cerebras eliminates inter-chip communication bottlenecks — the primary constraint limiting GPU cluster scaling. This architecture delivers significant advantages for AI inference workloads, particularly in latency-sensitive applications.</w:t>
      </w:r>
    </w:p>
    <w:p>
      <w:pPr>
        <w:spacing w:before="120" w:after="80"/>
      </w:pPr>
      <w:r>
        <w:rPr>
          <w:rFonts w:ascii="Times New Roman" w:hAnsi="Times New Roman"/>
          <w:b/>
          <w:color w:val="003366"/>
          <w:sz w:val="22"/>
        </w:rPr>
        <w:t>Performance Benchmarks vs. NVIDIA</w:t>
      </w:r>
    </w:p>
    <w:tbl>
      <w:tblPr>
        <w:tblW w:type="auto" w:w="0"/>
        <w:jc w:val="center"/>
        <w:tblLook w:firstColumn="1" w:firstRow="1" w:lastColumn="0" w:lastRow="0" w:noHBand="0" w:noVBand="1" w:val="04A0"/>
      </w:tblPr>
      <w:tblGrid>
        <w:gridCol w:w="3135"/>
        <w:gridCol w:w="3135"/>
        <w:gridCol w:w="3135"/>
      </w:tblGrid>
      <w:tr>
        <w:tc>
          <w:tcPr>
            <w:tcW w:type="dxa" w:w="2880"/>
            <w:vAlign w:val="center"/>
            <w:shd w:val="clear" w:color="auto" w:fill="003366"/>
          </w:tcPr>
          <w:p>
            <w:pPr>
              <w:jc w:val="center"/>
            </w:pPr>
            <w:r/>
            <w:r>
              <w:rPr>
                <w:rFonts w:ascii="Times New Roman" w:hAnsi="Times New Roman"/>
                <w:b/>
                <w:color w:val="FFFFFF"/>
                <w:sz w:val="18"/>
              </w:rPr>
              <w:t>Specification</w:t>
            </w:r>
          </w:p>
        </w:tc>
        <w:tc>
          <w:tcPr>
            <w:tcW w:type="dxa" w:w="3168"/>
            <w:vAlign w:val="center"/>
            <w:shd w:val="clear" w:color="auto" w:fill="003366"/>
          </w:tcPr>
          <w:p>
            <w:pPr>
              <w:jc w:val="center"/>
            </w:pPr>
            <w:r/>
            <w:r>
              <w:rPr>
                <w:rFonts w:ascii="Times New Roman" w:hAnsi="Times New Roman"/>
                <w:b/>
                <w:color w:val="FFFFFF"/>
                <w:sz w:val="18"/>
              </w:rPr>
              <w:t>Cerebras WSE-3 / CS-3</w:t>
            </w:r>
          </w:p>
        </w:tc>
        <w:tc>
          <w:tcPr>
            <w:tcW w:type="dxa" w:w="3168"/>
            <w:vAlign w:val="center"/>
            <w:shd w:val="clear" w:color="auto" w:fill="003366"/>
          </w:tcPr>
          <w:p>
            <w:pPr>
              <w:jc w:val="center"/>
            </w:pPr>
            <w:r/>
            <w:r>
              <w:rPr>
                <w:rFonts w:ascii="Times New Roman" w:hAnsi="Times New Roman"/>
                <w:b/>
                <w:color w:val="FFFFFF"/>
                <w:sz w:val="18"/>
              </w:rPr>
              <w:t>NVIDIA B200</w:t>
            </w:r>
          </w:p>
        </w:tc>
      </w:tr>
      <w:tr>
        <w:tc>
          <w:tcPr>
            <w:tcW w:type="dxa" w:w="2880"/>
            <w:vAlign w:val="center"/>
          </w:tcPr>
          <w:p>
            <w:pPr>
              <w:jc w:val="center"/>
            </w:pPr>
            <w:r/>
            <w:r>
              <w:rPr>
                <w:rFonts w:ascii="Times New Roman" w:hAnsi="Times New Roman"/>
                <w:color w:val="444444"/>
                <w:sz w:val="18"/>
              </w:rPr>
              <w:t>Transistors</w:t>
            </w:r>
          </w:p>
        </w:tc>
        <w:tc>
          <w:tcPr>
            <w:tcW w:type="dxa" w:w="3168"/>
            <w:vAlign w:val="center"/>
          </w:tcPr>
          <w:p>
            <w:pPr>
              <w:jc w:val="center"/>
            </w:pPr>
            <w:r/>
            <w:r>
              <w:rPr>
                <w:rFonts w:ascii="Times New Roman" w:hAnsi="Times New Roman"/>
                <w:color w:val="444444"/>
                <w:sz w:val="18"/>
              </w:rPr>
              <w:t>4 trillion</w:t>
            </w:r>
          </w:p>
        </w:tc>
        <w:tc>
          <w:tcPr>
            <w:tcW w:type="dxa" w:w="3168"/>
            <w:vAlign w:val="center"/>
          </w:tcPr>
          <w:p>
            <w:pPr>
              <w:jc w:val="center"/>
            </w:pPr>
            <w:r/>
            <w:r>
              <w:rPr>
                <w:rFonts w:ascii="Times New Roman" w:hAnsi="Times New Roman"/>
                <w:color w:val="444444"/>
                <w:sz w:val="18"/>
              </w:rPr>
              <w:t>208 billion</w:t>
            </w:r>
          </w:p>
        </w:tc>
      </w:tr>
      <w:tr>
        <w:tc>
          <w:tcPr>
            <w:tcW w:type="dxa" w:w="2880"/>
            <w:vAlign w:val="center"/>
            <w:shd w:val="clear" w:color="auto" w:fill="F0F0F0"/>
          </w:tcPr>
          <w:p>
            <w:pPr>
              <w:jc w:val="center"/>
            </w:pPr>
            <w:r/>
            <w:r>
              <w:rPr>
                <w:rFonts w:ascii="Times New Roman" w:hAnsi="Times New Roman"/>
                <w:color w:val="444444"/>
                <w:sz w:val="18"/>
              </w:rPr>
              <w:t>AI Cores</w:t>
            </w:r>
          </w:p>
        </w:tc>
        <w:tc>
          <w:tcPr>
            <w:tcW w:type="dxa" w:w="3168"/>
            <w:vAlign w:val="center"/>
            <w:shd w:val="clear" w:color="auto" w:fill="F0F0F0"/>
          </w:tcPr>
          <w:p>
            <w:pPr>
              <w:jc w:val="center"/>
            </w:pPr>
            <w:r/>
            <w:r>
              <w:rPr>
                <w:rFonts w:ascii="Times New Roman" w:hAnsi="Times New Roman"/>
                <w:color w:val="444444"/>
                <w:sz w:val="18"/>
              </w:rPr>
              <w:t>900,000</w:t>
            </w:r>
          </w:p>
        </w:tc>
        <w:tc>
          <w:tcPr>
            <w:tcW w:type="dxa" w:w="3168"/>
            <w:vAlign w:val="center"/>
            <w:shd w:val="clear" w:color="auto" w:fill="F0F0F0"/>
          </w:tcPr>
          <w:p>
            <w:pPr>
              <w:jc w:val="center"/>
            </w:pPr>
            <w:r/>
            <w:r>
              <w:rPr>
                <w:rFonts w:ascii="Times New Roman" w:hAnsi="Times New Roman"/>
                <w:color w:val="444444"/>
                <w:sz w:val="18"/>
              </w:rPr>
              <w:t>~17,000</w:t>
            </w:r>
          </w:p>
        </w:tc>
      </w:tr>
      <w:tr>
        <w:tc>
          <w:tcPr>
            <w:tcW w:type="dxa" w:w="2880"/>
            <w:vAlign w:val="center"/>
          </w:tcPr>
          <w:p>
            <w:pPr>
              <w:jc w:val="center"/>
            </w:pPr>
            <w:r/>
            <w:r>
              <w:rPr>
                <w:rFonts w:ascii="Times New Roman" w:hAnsi="Times New Roman"/>
                <w:color w:val="444444"/>
                <w:sz w:val="18"/>
              </w:rPr>
              <w:t>On-Chip Memory</w:t>
            </w:r>
          </w:p>
        </w:tc>
        <w:tc>
          <w:tcPr>
            <w:tcW w:type="dxa" w:w="3168"/>
            <w:vAlign w:val="center"/>
          </w:tcPr>
          <w:p>
            <w:pPr>
              <w:jc w:val="center"/>
            </w:pPr>
            <w:r/>
            <w:r>
              <w:rPr>
                <w:rFonts w:ascii="Times New Roman" w:hAnsi="Times New Roman"/>
                <w:color w:val="444444"/>
                <w:sz w:val="18"/>
              </w:rPr>
              <w:t>44 GB SRAM</w:t>
            </w:r>
          </w:p>
        </w:tc>
        <w:tc>
          <w:tcPr>
            <w:tcW w:type="dxa" w:w="3168"/>
            <w:vAlign w:val="center"/>
          </w:tcPr>
          <w:p>
            <w:pPr>
              <w:jc w:val="center"/>
            </w:pPr>
            <w:r/>
            <w:r>
              <w:rPr>
                <w:rFonts w:ascii="Times New Roman" w:hAnsi="Times New Roman"/>
                <w:color w:val="444444"/>
                <w:sz w:val="18"/>
              </w:rPr>
              <w:t>192 GB HBM3e</w:t>
            </w:r>
          </w:p>
        </w:tc>
      </w:tr>
      <w:tr>
        <w:tc>
          <w:tcPr>
            <w:tcW w:type="dxa" w:w="2880"/>
            <w:vAlign w:val="center"/>
            <w:shd w:val="clear" w:color="auto" w:fill="F0F0F0"/>
          </w:tcPr>
          <w:p>
            <w:pPr>
              <w:jc w:val="center"/>
            </w:pPr>
            <w:r/>
            <w:r>
              <w:rPr>
                <w:rFonts w:ascii="Times New Roman" w:hAnsi="Times New Roman"/>
                <w:color w:val="444444"/>
                <w:sz w:val="18"/>
              </w:rPr>
              <w:t>Memory Bandwidth</w:t>
            </w:r>
          </w:p>
        </w:tc>
        <w:tc>
          <w:tcPr>
            <w:tcW w:type="dxa" w:w="3168"/>
            <w:vAlign w:val="center"/>
            <w:shd w:val="clear" w:color="auto" w:fill="F0F0F0"/>
          </w:tcPr>
          <w:p>
            <w:pPr>
              <w:jc w:val="center"/>
            </w:pPr>
            <w:r/>
            <w:r>
              <w:rPr>
                <w:rFonts w:ascii="Times New Roman" w:hAnsi="Times New Roman"/>
                <w:color w:val="444444"/>
                <w:sz w:val="18"/>
              </w:rPr>
              <w:t>21 PB/s</w:t>
            </w:r>
          </w:p>
        </w:tc>
        <w:tc>
          <w:tcPr>
            <w:tcW w:type="dxa" w:w="3168"/>
            <w:vAlign w:val="center"/>
            <w:shd w:val="clear" w:color="auto" w:fill="F0F0F0"/>
          </w:tcPr>
          <w:p>
            <w:pPr>
              <w:jc w:val="center"/>
            </w:pPr>
            <w:r/>
            <w:r>
              <w:rPr>
                <w:rFonts w:ascii="Times New Roman" w:hAnsi="Times New Roman"/>
                <w:color w:val="444444"/>
                <w:sz w:val="18"/>
              </w:rPr>
              <w:t>8 TB/s</w:t>
            </w:r>
          </w:p>
        </w:tc>
      </w:tr>
      <w:tr>
        <w:tc>
          <w:tcPr>
            <w:tcW w:type="dxa" w:w="2880"/>
            <w:vAlign w:val="center"/>
          </w:tcPr>
          <w:p>
            <w:pPr>
              <w:jc w:val="center"/>
            </w:pPr>
            <w:r/>
            <w:r>
              <w:rPr>
                <w:rFonts w:ascii="Times New Roman" w:hAnsi="Times New Roman"/>
                <w:color w:val="444444"/>
                <w:sz w:val="18"/>
              </w:rPr>
              <w:t>Inference Speed</w:t>
            </w:r>
          </w:p>
        </w:tc>
        <w:tc>
          <w:tcPr>
            <w:tcW w:type="dxa" w:w="3168"/>
            <w:vAlign w:val="center"/>
          </w:tcPr>
          <w:p>
            <w:pPr>
              <w:jc w:val="center"/>
            </w:pPr>
            <w:r/>
            <w:r>
              <w:rPr>
                <w:rFonts w:ascii="Times New Roman" w:hAnsi="Times New Roman"/>
                <w:color w:val="444444"/>
                <w:sz w:val="18"/>
              </w:rPr>
              <w:t>2,100 tok/s/user*</w:t>
            </w:r>
          </w:p>
        </w:tc>
        <w:tc>
          <w:tcPr>
            <w:tcW w:type="dxa" w:w="3168"/>
            <w:vAlign w:val="center"/>
          </w:tcPr>
          <w:p>
            <w:pPr>
              <w:jc w:val="center"/>
            </w:pPr>
            <w:r/>
            <w:r>
              <w:rPr>
                <w:rFonts w:ascii="Times New Roman" w:hAnsi="Times New Roman"/>
                <w:color w:val="444444"/>
                <w:sz w:val="18"/>
              </w:rPr>
              <w:t>~260 tok/s/user</w:t>
            </w:r>
          </w:p>
        </w:tc>
      </w:tr>
      <w:tr>
        <w:tc>
          <w:tcPr>
            <w:tcW w:type="dxa" w:w="2880"/>
            <w:vAlign w:val="center"/>
            <w:shd w:val="clear" w:color="auto" w:fill="F0F0F0"/>
          </w:tcPr>
          <w:p>
            <w:pPr>
              <w:jc w:val="center"/>
            </w:pPr>
            <w:r/>
            <w:r>
              <w:rPr>
                <w:rFonts w:ascii="Times New Roman" w:hAnsi="Times New Roman"/>
                <w:color w:val="444444"/>
                <w:sz w:val="18"/>
              </w:rPr>
              <w:t>Power (System)</w:t>
            </w:r>
          </w:p>
        </w:tc>
        <w:tc>
          <w:tcPr>
            <w:tcW w:type="dxa" w:w="3168"/>
            <w:vAlign w:val="center"/>
            <w:shd w:val="clear" w:color="auto" w:fill="F0F0F0"/>
          </w:tcPr>
          <w:p>
            <w:pPr>
              <w:jc w:val="center"/>
            </w:pPr>
            <w:r/>
            <w:r>
              <w:rPr>
                <w:rFonts w:ascii="Times New Roman" w:hAnsi="Times New Roman"/>
                <w:color w:val="444444"/>
                <w:sz w:val="18"/>
              </w:rPr>
              <w:t>~23 kW</w:t>
            </w:r>
          </w:p>
        </w:tc>
        <w:tc>
          <w:tcPr>
            <w:tcW w:type="dxa" w:w="3168"/>
            <w:vAlign w:val="center"/>
            <w:shd w:val="clear" w:color="auto" w:fill="F0F0F0"/>
          </w:tcPr>
          <w:p>
            <w:pPr>
              <w:jc w:val="center"/>
            </w:pPr>
            <w:r/>
            <w:r>
              <w:rPr>
                <w:rFonts w:ascii="Times New Roman" w:hAnsi="Times New Roman"/>
                <w:color w:val="444444"/>
                <w:sz w:val="18"/>
              </w:rPr>
              <w:t>~10 kW (per GPU)</w:t>
            </w:r>
          </w:p>
        </w:tc>
      </w:tr>
      <w:tr>
        <w:tc>
          <w:tcPr>
            <w:tcW w:type="dxa" w:w="2880"/>
            <w:vAlign w:val="center"/>
          </w:tcPr>
          <w:p>
            <w:pPr>
              <w:jc w:val="center"/>
            </w:pPr>
            <w:r/>
            <w:r>
              <w:rPr>
                <w:rFonts w:ascii="Times New Roman" w:hAnsi="Times New Roman"/>
                <w:color w:val="444444"/>
                <w:sz w:val="18"/>
              </w:rPr>
              <w:t>Form Factor</w:t>
            </w:r>
          </w:p>
        </w:tc>
        <w:tc>
          <w:tcPr>
            <w:tcW w:type="dxa" w:w="3168"/>
            <w:vAlign w:val="center"/>
          </w:tcPr>
          <w:p>
            <w:pPr>
              <w:jc w:val="center"/>
            </w:pPr>
            <w:r/>
            <w:r>
              <w:rPr>
                <w:rFonts w:ascii="Times New Roman" w:hAnsi="Times New Roman"/>
                <w:color w:val="444444"/>
                <w:sz w:val="18"/>
              </w:rPr>
              <w:t>15U rack</w:t>
            </w:r>
          </w:p>
        </w:tc>
        <w:tc>
          <w:tcPr>
            <w:tcW w:type="dxa" w:w="3168"/>
            <w:vAlign w:val="center"/>
          </w:tcPr>
          <w:p>
            <w:pPr>
              <w:jc w:val="center"/>
            </w:pPr>
            <w:r/>
            <w:r>
              <w:rPr>
                <w:rFonts w:ascii="Times New Roman" w:hAnsi="Times New Roman"/>
                <w:color w:val="444444"/>
                <w:sz w:val="18"/>
              </w:rPr>
              <w:t>8U per DGX</w:t>
            </w:r>
          </w:p>
        </w:tc>
      </w:tr>
    </w:tbl>
    <w:p>
      <w:pPr>
        <w:spacing w:before="40" w:after="80"/>
      </w:pPr>
      <w:r>
        <w:rPr>
          <w:rFonts w:ascii="Times New Roman" w:hAnsi="Times New Roman"/>
          <w:b w:val="0"/>
          <w:i/>
          <w:color w:val="444444"/>
          <w:sz w:val="16"/>
        </w:rPr>
        <w:t>*Llama 3.1 70B benchmark. Source: Cerebras corporate materials; Futurum Group analysis.</w:t>
      </w:r>
    </w:p>
    <w:p>
      <w:pPr>
        <w:spacing w:before="160" w:after="80"/>
      </w:pPr>
      <w:r>
        <w:rPr>
          <w:rFonts w:ascii="Times New Roman" w:hAnsi="Times New Roman"/>
          <w:b/>
          <w:color w:val="003366"/>
          <w:sz w:val="26"/>
        </w:rPr>
        <w:t>Strategic Contracts: OpenAI &amp; AWS</w:t>
      </w:r>
    </w:p>
    <w:p>
      <w:pPr>
        <w:spacing w:before="40" w:after="40"/>
      </w:pPr>
      <w:r>
        <w:rPr>
          <w:rFonts w:ascii="Times New Roman" w:hAnsi="Times New Roman"/>
          <w:b w:val="0"/>
          <w:i w:val="0"/>
          <w:color w:val="444444"/>
          <w:sz w:val="20"/>
        </w:rPr>
        <w:t>The OpenAI agreement, announced January 2026, represents a transformational contract valued at over $20 billion. OpenAI has committed to purchasing 750 megawatts of inference capacity (expandable to 2 GW by 2030). OpenAI also provided a $1 billion loan at 6% annual interest to help Cerebras build dedicated data centers, and received warrants for up to 33.4 million shares of non-voting stock that convert to ~10% ownership if total spending reaches $30 billion.</w:t>
      </w:r>
    </w:p>
    <w:p>
      <w:pPr>
        <w:spacing w:before="40" w:after="40"/>
      </w:pPr>
      <w:r>
        <w:rPr>
          <w:rFonts w:ascii="Times New Roman" w:hAnsi="Times New Roman"/>
          <w:b w:val="0"/>
          <w:i w:val="0"/>
          <w:color w:val="444444"/>
          <w:sz w:val="20"/>
        </w:rPr>
        <w:t>The AWS partnership (March 2026) brings Cerebras chips into Amazon's data center ecosystem, working alongside Amazon's proprietary Trainium chips. Amazon invested $270 million in Cerebras equity as part of the collaboration, validating Cerebras' technology as complementary to (not just competitive with) existing cloud infrastructure.</w:t>
      </w:r>
    </w:p>
    <w:p>
      <w:pPr>
        <w:spacing w:before="160" w:after="80"/>
      </w:pPr>
      <w:r>
        <w:rPr>
          <w:rFonts w:ascii="Times New Roman" w:hAnsi="Times New Roman"/>
          <w:b/>
          <w:color w:val="003366"/>
          <w:sz w:val="26"/>
        </w:rPr>
        <w:t>TSMC Dependency: Key Supply-Chain Risk</w:t>
      </w:r>
    </w:p>
    <w:p>
      <w:pPr>
        <w:spacing w:before="40" w:after="40"/>
      </w:pPr>
      <w:r>
        <w:rPr>
          <w:rFonts w:ascii="Times New Roman" w:hAnsi="Times New Roman"/>
          <w:b w:val="0"/>
          <w:i w:val="0"/>
          <w:color w:val="444444"/>
          <w:sz w:val="20"/>
        </w:rPr>
        <w:t>All Cerebras wafers are manufactured by TSMC, with no formalized long-term supply or allocation commitment. No other foundry can viably produce wafer-scale chips of this size. TSMC's allocation priorities favor higher-volume customers (Apple, NVIDIA, AMD), creating potential supply constraints. Any geopolitical disruption to Taiwan-based manufacturing would directly impair Cerebras' production capacity. This single-supplier dependency with no near-term alternative represents a material risk.</w:t>
      </w:r>
    </w:p>
    <w:p>
      <w:pPr>
        <w:jc w:val="center"/>
      </w:pPr>
      <w:r>
        <w:drawing>
          <wp:inline xmlns:a="http://schemas.openxmlformats.org/drawingml/2006/main" xmlns:pic="http://schemas.openxmlformats.org/drawingml/2006/picture">
            <wp:extent cx="5029200" cy="3114167"/>
            <wp:docPr id="7" name="Picture 7"/>
            <wp:cNvGraphicFramePr>
              <a:graphicFrameLocks noChangeAspect="1"/>
            </wp:cNvGraphicFramePr>
            <a:graphic>
              <a:graphicData uri="http://schemas.openxmlformats.org/drawingml/2006/picture">
                <pic:pic>
                  <pic:nvPicPr>
                    <pic:cNvPr id="0" name="cbrs_chart8_rd.png"/>
                    <pic:cNvPicPr/>
                  </pic:nvPicPr>
                  <pic:blipFill>
                    <a:blip r:embed="rId15"/>
                    <a:stretch>
                      <a:fillRect/>
                    </a:stretch>
                  </pic:blipFill>
                  <pic:spPr>
                    <a:xfrm>
                      <a:off x="0" y="0"/>
                      <a:ext cx="5029200" cy="3114167"/>
                    </a:xfrm>
                    <a:prstGeom prst="rect"/>
                  </pic:spPr>
                </pic:pic>
              </a:graphicData>
            </a:graphic>
          </wp:inline>
        </w:drawing>
      </w:r>
    </w:p>
    <w:p>
      <w:pPr>
        <w:spacing w:before="40" w:after="120"/>
        <w:jc w:val="center"/>
      </w:pPr>
      <w:r>
        <w:rPr>
          <w:i/>
          <w:color w:val="444444"/>
          <w:sz w:val="16"/>
        </w:rPr>
        <w:t>Figure 7: R&amp;D Investment Trend. Source: S-1 Filing, SEC EDGAR.</w:t>
      </w:r>
    </w:p>
    <w:p>
      <w:r>
        <w:br w:type="page"/>
      </w:r>
    </w:p>
    <w:p>
      <w:pPr>
        <w:spacing w:before="120" w:after="120"/>
      </w:pPr>
      <w:r>
        <w:rPr>
          <w:rFonts w:ascii="Times New Roman" w:hAnsi="Times New Roman"/>
          <w:b/>
          <w:color w:val="003366"/>
          <w:sz w:val="32"/>
        </w:rPr>
        <w:t>VALUATION &amp; FINANCIAL OVERVIEW</w:t>
      </w:r>
    </w:p>
    <w:p>
      <w:pPr>
        <w:spacing w:before="120" w:after="80"/>
      </w:pPr>
      <w:r>
        <w:rPr>
          <w:rFonts w:ascii="Times New Roman" w:hAnsi="Times New Roman"/>
          <w:b/>
          <w:color w:val="003366"/>
          <w:sz w:val="26"/>
        </w:rPr>
        <w:t>IPO Pricing &amp; First-Day Performance</w:t>
      </w:r>
    </w:p>
    <w:p>
      <w:pPr>
        <w:spacing w:before="40" w:after="40"/>
      </w:pPr>
      <w:r>
        <w:rPr>
          <w:rFonts w:ascii="Times New Roman" w:hAnsi="Times New Roman"/>
          <w:b w:val="0"/>
          <w:i w:val="0"/>
          <w:color w:val="444444"/>
          <w:sz w:val="20"/>
        </w:rPr>
        <w:t>Cerebras priced its IPO at $185 per share on May 13, 2026, above the already-raised range of $150-$160 (originally $115-$125). The offering was approximately 20x oversubscribed. The company sold 30 million Class A shares, raising $5.55 billion in gross proceeds — the largest US tech IPO since Uber in 2019. Shares opened at $350 and closed Day 1 at $311.07, representing a 68.2% premium to the IPO price.</w:t>
      </w:r>
    </w:p>
    <w:p>
      <w:pPr>
        <w:jc w:val="center"/>
      </w:pPr>
      <w:r>
        <w:drawing>
          <wp:inline xmlns:a="http://schemas.openxmlformats.org/drawingml/2006/main" xmlns:pic="http://schemas.openxmlformats.org/drawingml/2006/picture">
            <wp:extent cx="5303520" cy="2757116"/>
            <wp:docPr id="8" name="Picture 8"/>
            <wp:cNvGraphicFramePr>
              <a:graphicFrameLocks noChangeAspect="1"/>
            </wp:cNvGraphicFramePr>
            <a:graphic>
              <a:graphicData uri="http://schemas.openxmlformats.org/drawingml/2006/picture">
                <pic:pic>
                  <pic:nvPicPr>
                    <pic:cNvPr id="0" name="cbrs_chart10_ipo.png"/>
                    <pic:cNvPicPr/>
                  </pic:nvPicPr>
                  <pic:blipFill>
                    <a:blip r:embed="rId16"/>
                    <a:stretch>
                      <a:fillRect/>
                    </a:stretch>
                  </pic:blipFill>
                  <pic:spPr>
                    <a:xfrm>
                      <a:off x="0" y="0"/>
                      <a:ext cx="5303520" cy="2757116"/>
                    </a:xfrm>
                    <a:prstGeom prst="rect"/>
                  </pic:spPr>
                </pic:pic>
              </a:graphicData>
            </a:graphic>
          </wp:inline>
        </w:drawing>
      </w:r>
    </w:p>
    <w:p>
      <w:pPr>
        <w:spacing w:before="40" w:after="120"/>
        <w:jc w:val="center"/>
      </w:pPr>
      <w:r>
        <w:rPr>
          <w:i/>
          <w:color w:val="444444"/>
          <w:sz w:val="16"/>
        </w:rPr>
        <w:t>Figure 8: IPO Pricing &amp; Capital Structure. Source: CNBC; Company Prospectus.</w:t>
      </w:r>
    </w:p>
    <w:p>
      <w:pPr>
        <w:spacing w:before="160" w:after="80"/>
      </w:pPr>
      <w:r>
        <w:rPr>
          <w:rFonts w:ascii="Times New Roman" w:hAnsi="Times New Roman"/>
          <w:b/>
          <w:color w:val="003366"/>
          <w:sz w:val="26"/>
        </w:rPr>
        <w:t>GAAP vs. Non-GAAP Profitability</w:t>
      </w:r>
    </w:p>
    <w:p>
      <w:pPr>
        <w:spacing w:before="40" w:after="40"/>
      </w:pPr>
      <w:r>
        <w:rPr>
          <w:rFonts w:ascii="Times New Roman" w:hAnsi="Times New Roman"/>
          <w:b w:val="0"/>
          <w:i w:val="0"/>
          <w:color w:val="444444"/>
          <w:sz w:val="20"/>
        </w:rPr>
        <w:t>The divergence between GAAP and non-GAAP results is critical for investors to understand. GAAP net income of $237.8M includes a $363.3M non-cash gain from extinguishing a forward-contract liability tied to G42's original investment. Excluding this one-time item and stock-based compensation, the company reported an adjusted net loss of approximately $(75.7M). The operating business remains unprofitable, with an operating loss of $(145.9M) in FY2025.</w:t>
      </w:r>
    </w:p>
    <w:p>
      <w:pPr>
        <w:jc w:val="center"/>
      </w:pPr>
      <w:r>
        <w:drawing>
          <wp:inline xmlns:a="http://schemas.openxmlformats.org/drawingml/2006/main" xmlns:pic="http://schemas.openxmlformats.org/drawingml/2006/picture">
            <wp:extent cx="5029200" cy="3311564"/>
            <wp:docPr id="9" name="Picture 9"/>
            <wp:cNvGraphicFramePr>
              <a:graphicFrameLocks noChangeAspect="1"/>
            </wp:cNvGraphicFramePr>
            <a:graphic>
              <a:graphicData uri="http://schemas.openxmlformats.org/drawingml/2006/picture">
                <pic:pic>
                  <pic:nvPicPr>
                    <pic:cNvPr id="0" name="cbrs_chart7_netincome.png"/>
                    <pic:cNvPicPr/>
                  </pic:nvPicPr>
                  <pic:blipFill>
                    <a:blip r:embed="rId17"/>
                    <a:stretch>
                      <a:fillRect/>
                    </a:stretch>
                  </pic:blipFill>
                  <pic:spPr>
                    <a:xfrm>
                      <a:off x="0" y="0"/>
                      <a:ext cx="5029200" cy="3311564"/>
                    </a:xfrm>
                    <a:prstGeom prst="rect"/>
                  </pic:spPr>
                </pic:pic>
              </a:graphicData>
            </a:graphic>
          </wp:inline>
        </w:drawing>
      </w:r>
    </w:p>
    <w:p>
      <w:pPr>
        <w:spacing w:before="40" w:after="120"/>
        <w:jc w:val="center"/>
      </w:pPr>
      <w:r>
        <w:rPr>
          <w:i/>
          <w:color w:val="444444"/>
          <w:sz w:val="16"/>
        </w:rPr>
        <w:t>Figure 9: GAAP vs. Non-GAAP Net Income. Source: S-1 Filing, SEC EDGAR.</w:t>
      </w:r>
    </w:p>
    <w:p>
      <w:pPr>
        <w:spacing w:before="160" w:after="80"/>
      </w:pPr>
      <w:r>
        <w:rPr>
          <w:rFonts w:ascii="Times New Roman" w:hAnsi="Times New Roman"/>
          <w:b/>
          <w:color w:val="003366"/>
          <w:sz w:val="26"/>
        </w:rPr>
        <w:t>Valuation Context: Premium Reflects Growth Potential</w:t>
      </w:r>
    </w:p>
    <w:p>
      <w:pPr>
        <w:spacing w:before="40" w:after="40"/>
      </w:pPr>
      <w:r>
        <w:rPr>
          <w:rFonts w:ascii="Times New Roman" w:hAnsi="Times New Roman"/>
          <w:b w:val="0"/>
          <w:i w:val="0"/>
          <w:color w:val="444444"/>
          <w:sz w:val="20"/>
        </w:rPr>
        <w:t>At the current price of $279.72, Cerebras trades at a trailing P/S ratio of approximately 131x — a significant premium to AI semiconductor peers (NVIDIA at ~29x, AMD at ~9x, Broadcom at ~18x). The premium reflects: (1) the transformational OpenAI and AWS contracts that could drive revenue to $2-3B+ by FY2027; (2) the unique wafer-scale technology with limited direct competition; and (3) the broader AI infrastructure capital expenditure super-cycle.</w:t>
      </w:r>
    </w:p>
    <w:p>
      <w:pPr>
        <w:spacing w:before="40" w:after="40"/>
      </w:pPr>
      <w:r>
        <w:rPr>
          <w:rFonts w:ascii="Times New Roman" w:hAnsi="Times New Roman"/>
          <w:b w:val="0"/>
          <w:i w:val="0"/>
          <w:color w:val="444444"/>
          <w:sz w:val="20"/>
        </w:rPr>
        <w:t>However, the premium also embeds substantial execution risk. The company must successfully ramp the OpenAI contract, diversify beyond UAE customers, manage TSMC supply constraints, and achieve operating profitability — all while competing against NVIDIA's established GPU ecosystem. No sell-side analyst coverage exists yet given the recent IPO.</w:t>
      </w:r>
    </w:p>
    <w:p>
      <w:pPr>
        <w:jc w:val="center"/>
      </w:pPr>
      <w:r>
        <w:drawing>
          <wp:inline xmlns:a="http://schemas.openxmlformats.org/drawingml/2006/main" xmlns:pic="http://schemas.openxmlformats.org/drawingml/2006/picture">
            <wp:extent cx="5029200" cy="3363596"/>
            <wp:docPr id="10" name="Picture 10"/>
            <wp:cNvGraphicFramePr>
              <a:graphicFrameLocks noChangeAspect="1"/>
            </wp:cNvGraphicFramePr>
            <a:graphic>
              <a:graphicData uri="http://schemas.openxmlformats.org/drawingml/2006/picture">
                <pic:pic>
                  <pic:nvPicPr>
                    <pic:cNvPr id="0" name="cbrs_chart9_valuation.png"/>
                    <pic:cNvPicPr/>
                  </pic:nvPicPr>
                  <pic:blipFill>
                    <a:blip r:embed="rId18"/>
                    <a:stretch>
                      <a:fillRect/>
                    </a:stretch>
                  </pic:blipFill>
                  <pic:spPr>
                    <a:xfrm>
                      <a:off x="0" y="0"/>
                      <a:ext cx="5029200" cy="3363596"/>
                    </a:xfrm>
                    <a:prstGeom prst="rect"/>
                  </pic:spPr>
                </pic:pic>
              </a:graphicData>
            </a:graphic>
          </wp:inline>
        </w:drawing>
      </w:r>
    </w:p>
    <w:p>
      <w:pPr>
        <w:spacing w:before="40" w:after="120"/>
        <w:jc w:val="center"/>
      </w:pPr>
      <w:r>
        <w:rPr>
          <w:i/>
          <w:color w:val="444444"/>
          <w:sz w:val="16"/>
        </w:rPr>
        <w:t>Figure 10: P/S Ratio vs. AI Semiconductor Peers. Source: StockAnalysis.com; Yahoo Finance.</w:t>
      </w:r>
    </w:p>
    <w:p>
      <w:r>
        <w:br w:type="page"/>
      </w:r>
    </w:p>
    <w:p>
      <w:pPr>
        <w:spacing w:before="120" w:after="120"/>
      </w:pPr>
      <w:r>
        <w:rPr>
          <w:rFonts w:ascii="Times New Roman" w:hAnsi="Times New Roman"/>
          <w:b/>
          <w:color w:val="003366"/>
          <w:sz w:val="32"/>
        </w:rPr>
        <w:t>INVESTMENT THESIS &amp; RISK FACTORS</w:t>
      </w:r>
    </w:p>
    <w:p>
      <w:pPr>
        <w:spacing w:before="120" w:after="80"/>
      </w:pPr>
      <w:r>
        <w:rPr>
          <w:rFonts w:ascii="Times New Roman" w:hAnsi="Times New Roman"/>
          <w:b/>
          <w:color w:val="003366"/>
          <w:sz w:val="26"/>
        </w:rPr>
        <w:t>Bull Case</w:t>
      </w:r>
    </w:p>
    <w:p>
      <w:pPr>
        <w:pStyle w:val="ListBullet"/>
        <w:spacing w:before="20" w:after="20"/>
      </w:pPr>
      <w:r>
        <w:rPr>
          <w:rFonts w:ascii="Times New Roman" w:hAnsi="Times New Roman"/>
          <w:color w:val="444444"/>
          <w:sz w:val="20"/>
        </w:rPr>
        <w:t>OpenAI contract ($20B+) transforms revenue trajectory — could drive $2-3B+ annual revenue by FY2027-2028.</w:t>
      </w:r>
    </w:p>
    <w:p>
      <w:pPr>
        <w:pStyle w:val="ListBullet"/>
        <w:spacing w:before="20" w:after="20"/>
      </w:pPr>
      <w:r>
        <w:rPr>
          <w:rFonts w:ascii="Times New Roman" w:hAnsi="Times New Roman"/>
          <w:color w:val="444444"/>
          <w:sz w:val="20"/>
        </w:rPr>
        <w:t>Wafer-scale architecture offers genuine performance differentiation vs. GPU clusters for inference workloads.</w:t>
      </w:r>
    </w:p>
    <w:p>
      <w:pPr>
        <w:pStyle w:val="ListBullet"/>
        <w:spacing w:before="20" w:after="20"/>
      </w:pPr>
      <w:r>
        <w:rPr>
          <w:rFonts w:ascii="Times New Roman" w:hAnsi="Times New Roman"/>
          <w:color w:val="444444"/>
          <w:sz w:val="20"/>
        </w:rPr>
        <w:t>Cloud/inference services model drives margin expansion as mix shifts from hardware to recurring revenue.</w:t>
      </w:r>
    </w:p>
    <w:p>
      <w:pPr>
        <w:pStyle w:val="ListBullet"/>
        <w:spacing w:before="20" w:after="20"/>
      </w:pPr>
      <w:r>
        <w:rPr>
          <w:rFonts w:ascii="Times New Roman" w:hAnsi="Times New Roman"/>
          <w:color w:val="444444"/>
          <w:sz w:val="20"/>
        </w:rPr>
        <w:t>AWS partnership validates technology and opens access to the world's largest cloud infrastructure ecosystem.</w:t>
      </w:r>
    </w:p>
    <w:p>
      <w:pPr>
        <w:pStyle w:val="ListBullet"/>
        <w:spacing w:before="20" w:after="20"/>
      </w:pPr>
      <w:r>
        <w:rPr>
          <w:rFonts w:ascii="Times New Roman" w:hAnsi="Times New Roman"/>
          <w:color w:val="444444"/>
          <w:sz w:val="20"/>
        </w:rPr>
        <w:t>AI inference demand is scaling faster than training demand, positioning Cerebras at the growth inflection point.</w:t>
      </w:r>
    </w:p>
    <w:p>
      <w:pPr>
        <w:spacing w:before="160" w:after="80"/>
      </w:pPr>
      <w:r>
        <w:rPr>
          <w:rFonts w:ascii="Times New Roman" w:hAnsi="Times New Roman"/>
          <w:b/>
          <w:color w:val="003366"/>
          <w:sz w:val="26"/>
        </w:rPr>
        <w:t>Bear Case / Key Risks</w:t>
      </w:r>
    </w:p>
    <w:p>
      <w:pPr>
        <w:pStyle w:val="ListBullet"/>
        <w:spacing w:before="20" w:after="20"/>
      </w:pPr>
      <w:r>
        <w:rPr>
          <w:rFonts w:ascii="Times New Roman" w:hAnsi="Times New Roman"/>
          <w:color w:val="444444"/>
          <w:sz w:val="20"/>
        </w:rPr>
        <w:t>Extreme customer concentration: 86% of FY2025 revenue from two UAE entities; OpenAI contract shifts risk but doesn't eliminate concentration.</w:t>
      </w:r>
    </w:p>
    <w:p>
      <w:pPr>
        <w:pStyle w:val="ListBullet"/>
        <w:spacing w:before="20" w:after="20"/>
      </w:pPr>
      <w:r>
        <w:rPr>
          <w:rFonts w:ascii="Times New Roman" w:hAnsi="Times New Roman"/>
          <w:color w:val="444444"/>
          <w:sz w:val="20"/>
        </w:rPr>
        <w:t>TSMC single-supplier dependency with no formalized allocation commitment and no alternative foundry capable of wafer-scale production.</w:t>
      </w:r>
    </w:p>
    <w:p>
      <w:pPr>
        <w:pStyle w:val="ListBullet"/>
        <w:spacing w:before="20" w:after="20"/>
      </w:pPr>
      <w:r>
        <w:rPr>
          <w:rFonts w:ascii="Times New Roman" w:hAnsi="Times New Roman"/>
          <w:color w:val="444444"/>
          <w:sz w:val="20"/>
        </w:rPr>
        <w:t>Operating losses persist: $(145.9M) operating loss in FY2025; path to profitability requires significant revenue scale and margin expansion.</w:t>
      </w:r>
    </w:p>
    <w:p>
      <w:pPr>
        <w:pStyle w:val="ListBullet"/>
        <w:spacing w:before="20" w:after="20"/>
      </w:pPr>
      <w:r>
        <w:rPr>
          <w:rFonts w:ascii="Times New Roman" w:hAnsi="Times New Roman"/>
          <w:color w:val="444444"/>
          <w:sz w:val="20"/>
        </w:rPr>
        <w:t>Valuation premium (~131x P/S) leaves little margin for execution missteps or market sentiment shifts.</w:t>
      </w:r>
    </w:p>
    <w:p>
      <w:pPr>
        <w:pStyle w:val="ListBullet"/>
        <w:spacing w:before="20" w:after="20"/>
      </w:pPr>
      <w:r>
        <w:rPr>
          <w:rFonts w:ascii="Times New Roman" w:hAnsi="Times New Roman"/>
          <w:color w:val="444444"/>
          <w:sz w:val="20"/>
        </w:rPr>
        <w:t>NVIDIA competitive response: NVIDIA's Blackwell architecture and software ecosystem (CUDA) represent a formidable competitive moat.</w:t>
      </w:r>
    </w:p>
    <w:p>
      <w:pPr>
        <w:pStyle w:val="ListBullet"/>
        <w:spacing w:before="20" w:after="20"/>
      </w:pPr>
      <w:r>
        <w:rPr>
          <w:rFonts w:ascii="Times New Roman" w:hAnsi="Times New Roman"/>
          <w:color w:val="444444"/>
          <w:sz w:val="20"/>
        </w:rPr>
        <w:t>Geopolitical/export control risks: UAE customer base and potential expansion into restricted markets could trigger regulatory scrutiny.</w:t>
      </w:r>
    </w:p>
    <w:p>
      <w:pPr>
        <w:pStyle w:val="ListBullet"/>
        <w:spacing w:before="20" w:after="20"/>
      </w:pPr>
      <w:r>
        <w:rPr>
          <w:rFonts w:ascii="Times New Roman" w:hAnsi="Times New Roman"/>
          <w:color w:val="444444"/>
          <w:sz w:val="20"/>
        </w:rPr>
        <w:t>OpenAI relationship complexity: OpenAI holds warrants convertible to ~10% ownership; loan and equity structure creates entanglement risk.</w:t>
      </w:r>
    </w:p>
    <w:p>
      <w:pPr>
        <w:spacing w:before="40" w:after="40"/>
        <w:pBdr>
          <w:bottom w:val="single" w:sz="4" w:space="1" w:color="003366"/>
        </w:pBdr>
      </w:pPr>
    </w:p>
    <w:p>
      <w:pPr>
        <w:spacing w:before="160" w:after="80"/>
      </w:pPr>
      <w:r>
        <w:rPr>
          <w:rFonts w:ascii="Times New Roman" w:hAnsi="Times New Roman"/>
          <w:b/>
          <w:color w:val="003366"/>
          <w:sz w:val="26"/>
        </w:rPr>
        <w:t>Key Financial Summary</w:t>
      </w:r>
    </w:p>
    <w:tbl>
      <w:tblPr>
        <w:tblW w:type="auto" w:w="0"/>
        <w:jc w:val="center"/>
        <w:tblLook w:firstColumn="1" w:firstRow="1" w:lastColumn="0" w:lastRow="0" w:noHBand="0" w:noVBand="1" w:val="04A0"/>
      </w:tblPr>
      <w:tblGrid>
        <w:gridCol w:w="2351"/>
        <w:gridCol w:w="2351"/>
        <w:gridCol w:w="2351"/>
        <w:gridCol w:w="2351"/>
      </w:tblGrid>
      <w:tr>
        <w:tc>
          <w:tcPr>
            <w:tcW w:type="dxa" w:w="2880"/>
            <w:vAlign w:val="center"/>
            <w:shd w:val="clear" w:color="auto" w:fill="003366"/>
          </w:tcPr>
          <w:p>
            <w:pPr>
              <w:jc w:val="center"/>
            </w:pPr>
            <w:r/>
            <w:r>
              <w:rPr>
                <w:rFonts w:ascii="Times New Roman" w:hAnsi="Times New Roman"/>
                <w:b/>
                <w:color w:val="FFFFFF"/>
                <w:sz w:val="18"/>
              </w:rPr>
              <w:t>Metric</w:t>
            </w:r>
          </w:p>
        </w:tc>
        <w:tc>
          <w:tcPr>
            <w:tcW w:type="dxa" w:w="2160"/>
            <w:vAlign w:val="center"/>
            <w:shd w:val="clear" w:color="auto" w:fill="003366"/>
          </w:tcPr>
          <w:p>
            <w:pPr>
              <w:jc w:val="center"/>
            </w:pPr>
            <w:r/>
            <w:r>
              <w:rPr>
                <w:rFonts w:ascii="Times New Roman" w:hAnsi="Times New Roman"/>
                <w:b/>
                <w:color w:val="FFFFFF"/>
                <w:sz w:val="18"/>
              </w:rPr>
              <w:t>FY2023</w:t>
            </w:r>
          </w:p>
        </w:tc>
        <w:tc>
          <w:tcPr>
            <w:tcW w:type="dxa" w:w="2160"/>
            <w:vAlign w:val="center"/>
            <w:shd w:val="clear" w:color="auto" w:fill="003366"/>
          </w:tcPr>
          <w:p>
            <w:pPr>
              <w:jc w:val="center"/>
            </w:pPr>
            <w:r/>
            <w:r>
              <w:rPr>
                <w:rFonts w:ascii="Times New Roman" w:hAnsi="Times New Roman"/>
                <w:b/>
                <w:color w:val="FFFFFF"/>
                <w:sz w:val="18"/>
              </w:rPr>
              <w:t>FY2024</w:t>
            </w:r>
          </w:p>
        </w:tc>
        <w:tc>
          <w:tcPr>
            <w:tcW w:type="dxa" w:w="2160"/>
            <w:vAlign w:val="center"/>
            <w:shd w:val="clear" w:color="auto" w:fill="003366"/>
          </w:tcPr>
          <w:p>
            <w:pPr>
              <w:jc w:val="center"/>
            </w:pPr>
            <w:r/>
            <w:r>
              <w:rPr>
                <w:rFonts w:ascii="Times New Roman" w:hAnsi="Times New Roman"/>
                <w:b/>
                <w:color w:val="FFFFFF"/>
                <w:sz w:val="18"/>
              </w:rPr>
              <w:t>FY2025</w:t>
            </w:r>
          </w:p>
        </w:tc>
      </w:tr>
      <w:tr>
        <w:tc>
          <w:tcPr>
            <w:tcW w:type="dxa" w:w="2880"/>
            <w:vAlign w:val="center"/>
          </w:tcPr>
          <w:p>
            <w:pPr>
              <w:jc w:val="center"/>
            </w:pPr>
            <w:r/>
            <w:r>
              <w:rPr>
                <w:rFonts w:ascii="Times New Roman" w:hAnsi="Times New Roman"/>
                <w:color w:val="444444"/>
                <w:sz w:val="18"/>
              </w:rPr>
              <w:t>Revenue</w:t>
            </w:r>
          </w:p>
        </w:tc>
        <w:tc>
          <w:tcPr>
            <w:tcW w:type="dxa" w:w="2160"/>
            <w:vAlign w:val="center"/>
          </w:tcPr>
          <w:p>
            <w:pPr>
              <w:jc w:val="center"/>
            </w:pPr>
            <w:r/>
            <w:r>
              <w:rPr>
                <w:rFonts w:ascii="Times New Roman" w:hAnsi="Times New Roman"/>
                <w:color w:val="444444"/>
                <w:sz w:val="18"/>
              </w:rPr>
              <w:t>$78.7M</w:t>
            </w:r>
          </w:p>
        </w:tc>
        <w:tc>
          <w:tcPr>
            <w:tcW w:type="dxa" w:w="2160"/>
            <w:vAlign w:val="center"/>
          </w:tcPr>
          <w:p>
            <w:pPr>
              <w:jc w:val="center"/>
            </w:pPr>
            <w:r/>
            <w:r>
              <w:rPr>
                <w:rFonts w:ascii="Times New Roman" w:hAnsi="Times New Roman"/>
                <w:color w:val="444444"/>
                <w:sz w:val="18"/>
              </w:rPr>
              <w:t>$290.3M</w:t>
            </w:r>
          </w:p>
        </w:tc>
        <w:tc>
          <w:tcPr>
            <w:tcW w:type="dxa" w:w="2160"/>
            <w:vAlign w:val="center"/>
          </w:tcPr>
          <w:p>
            <w:pPr>
              <w:jc w:val="center"/>
            </w:pPr>
            <w:r/>
            <w:r>
              <w:rPr>
                <w:rFonts w:ascii="Times New Roman" w:hAnsi="Times New Roman"/>
                <w:color w:val="444444"/>
                <w:sz w:val="18"/>
              </w:rPr>
              <w:t>$510.0M</w:t>
            </w:r>
          </w:p>
        </w:tc>
      </w:tr>
      <w:tr>
        <w:tc>
          <w:tcPr>
            <w:tcW w:type="dxa" w:w="2880"/>
            <w:vAlign w:val="center"/>
            <w:shd w:val="clear" w:color="auto" w:fill="F0F0F0"/>
          </w:tcPr>
          <w:p>
            <w:pPr>
              <w:jc w:val="center"/>
            </w:pPr>
            <w:r/>
            <w:r>
              <w:rPr>
                <w:rFonts w:ascii="Times New Roman" w:hAnsi="Times New Roman"/>
                <w:color w:val="444444"/>
                <w:sz w:val="18"/>
              </w:rPr>
              <w:t>Revenue Growth</w:t>
            </w:r>
          </w:p>
        </w:tc>
        <w:tc>
          <w:tcPr>
            <w:tcW w:type="dxa" w:w="2160"/>
            <w:vAlign w:val="center"/>
            <w:shd w:val="clear" w:color="auto" w:fill="F0F0F0"/>
          </w:tcPr>
          <w:p>
            <w:pPr>
              <w:jc w:val="center"/>
            </w:pPr>
            <w:r/>
            <w:r>
              <w:rPr>
                <w:rFonts w:ascii="Times New Roman" w:hAnsi="Times New Roman"/>
                <w:color w:val="444444"/>
                <w:sz w:val="18"/>
              </w:rPr>
              <w:t>+220%</w:t>
            </w:r>
          </w:p>
        </w:tc>
        <w:tc>
          <w:tcPr>
            <w:tcW w:type="dxa" w:w="2160"/>
            <w:vAlign w:val="center"/>
            <w:shd w:val="clear" w:color="auto" w:fill="F0F0F0"/>
          </w:tcPr>
          <w:p>
            <w:pPr>
              <w:jc w:val="center"/>
            </w:pPr>
            <w:r/>
            <w:r>
              <w:rPr>
                <w:rFonts w:ascii="Times New Roman" w:hAnsi="Times New Roman"/>
                <w:color w:val="444444"/>
                <w:sz w:val="18"/>
              </w:rPr>
              <w:t>+269%</w:t>
            </w:r>
          </w:p>
        </w:tc>
        <w:tc>
          <w:tcPr>
            <w:tcW w:type="dxa" w:w="2160"/>
            <w:vAlign w:val="center"/>
            <w:shd w:val="clear" w:color="auto" w:fill="F0F0F0"/>
          </w:tcPr>
          <w:p>
            <w:pPr>
              <w:jc w:val="center"/>
            </w:pPr>
            <w:r/>
            <w:r>
              <w:rPr>
                <w:rFonts w:ascii="Times New Roman" w:hAnsi="Times New Roman"/>
                <w:color w:val="444444"/>
                <w:sz w:val="18"/>
              </w:rPr>
              <w:t>+76%</w:t>
            </w:r>
          </w:p>
        </w:tc>
      </w:tr>
      <w:tr>
        <w:tc>
          <w:tcPr>
            <w:tcW w:type="dxa" w:w="2880"/>
            <w:vAlign w:val="center"/>
          </w:tcPr>
          <w:p>
            <w:pPr>
              <w:jc w:val="center"/>
            </w:pPr>
            <w:r/>
            <w:r>
              <w:rPr>
                <w:rFonts w:ascii="Times New Roman" w:hAnsi="Times New Roman"/>
                <w:color w:val="444444"/>
                <w:sz w:val="18"/>
              </w:rPr>
              <w:t>Gross Margin</w:t>
            </w:r>
          </w:p>
        </w:tc>
        <w:tc>
          <w:tcPr>
            <w:tcW w:type="dxa" w:w="2160"/>
            <w:vAlign w:val="center"/>
          </w:tcPr>
          <w:p>
            <w:pPr>
              <w:jc w:val="center"/>
            </w:pPr>
            <w:r/>
            <w:r>
              <w:rPr>
                <w:rFonts w:ascii="Times New Roman" w:hAnsi="Times New Roman"/>
                <w:color w:val="444444"/>
                <w:sz w:val="18"/>
              </w:rPr>
              <w:t>33.5%</w:t>
            </w:r>
          </w:p>
        </w:tc>
        <w:tc>
          <w:tcPr>
            <w:tcW w:type="dxa" w:w="2160"/>
            <w:vAlign w:val="center"/>
          </w:tcPr>
          <w:p>
            <w:pPr>
              <w:jc w:val="center"/>
            </w:pPr>
            <w:r/>
            <w:r>
              <w:rPr>
                <w:rFonts w:ascii="Times New Roman" w:hAnsi="Times New Roman"/>
                <w:color w:val="444444"/>
                <w:sz w:val="18"/>
              </w:rPr>
              <w:t>42.3%</w:t>
            </w:r>
          </w:p>
        </w:tc>
        <w:tc>
          <w:tcPr>
            <w:tcW w:type="dxa" w:w="2160"/>
            <w:vAlign w:val="center"/>
          </w:tcPr>
          <w:p>
            <w:pPr>
              <w:jc w:val="center"/>
            </w:pPr>
            <w:r/>
            <w:r>
              <w:rPr>
                <w:rFonts w:ascii="Times New Roman" w:hAnsi="Times New Roman"/>
                <w:color w:val="444444"/>
                <w:sz w:val="18"/>
              </w:rPr>
              <w:t>39.0%</w:t>
            </w:r>
          </w:p>
        </w:tc>
      </w:tr>
      <w:tr>
        <w:tc>
          <w:tcPr>
            <w:tcW w:type="dxa" w:w="2880"/>
            <w:vAlign w:val="center"/>
            <w:shd w:val="clear" w:color="auto" w:fill="F0F0F0"/>
          </w:tcPr>
          <w:p>
            <w:pPr>
              <w:jc w:val="center"/>
            </w:pPr>
            <w:r/>
            <w:r>
              <w:rPr>
                <w:rFonts w:ascii="Times New Roman" w:hAnsi="Times New Roman"/>
                <w:color w:val="444444"/>
                <w:sz w:val="18"/>
              </w:rPr>
              <w:t>Operating Loss</w:t>
            </w:r>
          </w:p>
        </w:tc>
        <w:tc>
          <w:tcPr>
            <w:tcW w:type="dxa" w:w="2160"/>
            <w:vAlign w:val="center"/>
            <w:shd w:val="clear" w:color="auto" w:fill="F0F0F0"/>
          </w:tcPr>
          <w:p>
            <w:pPr>
              <w:jc w:val="center"/>
            </w:pPr>
            <w:r/>
            <w:r>
              <w:rPr>
                <w:rFonts w:ascii="Times New Roman" w:hAnsi="Times New Roman"/>
                <w:color w:val="444444"/>
                <w:sz w:val="18"/>
              </w:rPr>
              <w:t>($133.9M)</w:t>
            </w:r>
          </w:p>
        </w:tc>
        <w:tc>
          <w:tcPr>
            <w:tcW w:type="dxa" w:w="2160"/>
            <w:vAlign w:val="center"/>
            <w:shd w:val="clear" w:color="auto" w:fill="F0F0F0"/>
          </w:tcPr>
          <w:p>
            <w:pPr>
              <w:jc w:val="center"/>
            </w:pPr>
            <w:r/>
            <w:r>
              <w:rPr>
                <w:rFonts w:ascii="Times New Roman" w:hAnsi="Times New Roman"/>
                <w:color w:val="444444"/>
                <w:sz w:val="18"/>
              </w:rPr>
              <w:t>($101.4M)</w:t>
            </w:r>
          </w:p>
        </w:tc>
        <w:tc>
          <w:tcPr>
            <w:tcW w:type="dxa" w:w="2160"/>
            <w:vAlign w:val="center"/>
            <w:shd w:val="clear" w:color="auto" w:fill="F0F0F0"/>
          </w:tcPr>
          <w:p>
            <w:pPr>
              <w:jc w:val="center"/>
            </w:pPr>
            <w:r/>
            <w:r>
              <w:rPr>
                <w:rFonts w:ascii="Times New Roman" w:hAnsi="Times New Roman"/>
                <w:color w:val="444444"/>
                <w:sz w:val="18"/>
              </w:rPr>
              <w:t>($145.9M)</w:t>
            </w:r>
          </w:p>
        </w:tc>
      </w:tr>
      <w:tr>
        <w:tc>
          <w:tcPr>
            <w:tcW w:type="dxa" w:w="2880"/>
            <w:vAlign w:val="center"/>
          </w:tcPr>
          <w:p>
            <w:pPr>
              <w:jc w:val="center"/>
            </w:pPr>
            <w:r/>
            <w:r>
              <w:rPr>
                <w:rFonts w:ascii="Times New Roman" w:hAnsi="Times New Roman"/>
                <w:color w:val="444444"/>
                <w:sz w:val="18"/>
              </w:rPr>
              <w:t>Operating Margin</w:t>
            </w:r>
          </w:p>
        </w:tc>
        <w:tc>
          <w:tcPr>
            <w:tcW w:type="dxa" w:w="2160"/>
            <w:vAlign w:val="center"/>
          </w:tcPr>
          <w:p>
            <w:pPr>
              <w:jc w:val="center"/>
            </w:pPr>
            <w:r/>
            <w:r>
              <w:rPr>
                <w:rFonts w:ascii="Times New Roman" w:hAnsi="Times New Roman"/>
                <w:color w:val="444444"/>
                <w:sz w:val="18"/>
              </w:rPr>
              <w:t>-170.1%</w:t>
            </w:r>
          </w:p>
        </w:tc>
        <w:tc>
          <w:tcPr>
            <w:tcW w:type="dxa" w:w="2160"/>
            <w:vAlign w:val="center"/>
          </w:tcPr>
          <w:p>
            <w:pPr>
              <w:jc w:val="center"/>
            </w:pPr>
            <w:r/>
            <w:r>
              <w:rPr>
                <w:rFonts w:ascii="Times New Roman" w:hAnsi="Times New Roman"/>
                <w:color w:val="444444"/>
                <w:sz w:val="18"/>
              </w:rPr>
              <w:t>-35.0%</w:t>
            </w:r>
          </w:p>
        </w:tc>
        <w:tc>
          <w:tcPr>
            <w:tcW w:type="dxa" w:w="2160"/>
            <w:vAlign w:val="center"/>
          </w:tcPr>
          <w:p>
            <w:pPr>
              <w:jc w:val="center"/>
            </w:pPr>
            <w:r/>
            <w:r>
              <w:rPr>
                <w:rFonts w:ascii="Times New Roman" w:hAnsi="Times New Roman"/>
                <w:color w:val="444444"/>
                <w:sz w:val="18"/>
              </w:rPr>
              <w:t>-28.6%</w:t>
            </w:r>
          </w:p>
        </w:tc>
      </w:tr>
      <w:tr>
        <w:tc>
          <w:tcPr>
            <w:tcW w:type="dxa" w:w="2880"/>
            <w:vAlign w:val="center"/>
            <w:shd w:val="clear" w:color="auto" w:fill="F0F0F0"/>
          </w:tcPr>
          <w:p>
            <w:pPr>
              <w:jc w:val="center"/>
            </w:pPr>
            <w:r/>
            <w:r>
              <w:rPr>
                <w:rFonts w:ascii="Times New Roman" w:hAnsi="Times New Roman"/>
                <w:color w:val="444444"/>
                <w:sz w:val="18"/>
              </w:rPr>
              <w:t>R&amp;D (% of Revenue)</w:t>
            </w:r>
          </w:p>
        </w:tc>
        <w:tc>
          <w:tcPr>
            <w:tcW w:type="dxa" w:w="2160"/>
            <w:vAlign w:val="center"/>
            <w:shd w:val="clear" w:color="auto" w:fill="F0F0F0"/>
          </w:tcPr>
          <w:p>
            <w:pPr>
              <w:jc w:val="center"/>
            </w:pPr>
            <w:r/>
            <w:r>
              <w:rPr>
                <w:rFonts w:ascii="Times New Roman" w:hAnsi="Times New Roman"/>
                <w:color w:val="444444"/>
                <w:sz w:val="18"/>
              </w:rPr>
              <w:t>177.9%</w:t>
            </w:r>
          </w:p>
        </w:tc>
        <w:tc>
          <w:tcPr>
            <w:tcW w:type="dxa" w:w="2160"/>
            <w:vAlign w:val="center"/>
            <w:shd w:val="clear" w:color="auto" w:fill="F0F0F0"/>
          </w:tcPr>
          <w:p>
            <w:pPr>
              <w:jc w:val="center"/>
            </w:pPr>
            <w:r/>
            <w:r>
              <w:rPr>
                <w:rFonts w:ascii="Times New Roman" w:hAnsi="Times New Roman"/>
                <w:color w:val="444444"/>
                <w:sz w:val="18"/>
              </w:rPr>
              <w:t>54.5%</w:t>
            </w:r>
          </w:p>
        </w:tc>
        <w:tc>
          <w:tcPr>
            <w:tcW w:type="dxa" w:w="2160"/>
            <w:vAlign w:val="center"/>
            <w:shd w:val="clear" w:color="auto" w:fill="F0F0F0"/>
          </w:tcPr>
          <w:p>
            <w:pPr>
              <w:jc w:val="center"/>
            </w:pPr>
            <w:r/>
            <w:r>
              <w:rPr>
                <w:rFonts w:ascii="Times New Roman" w:hAnsi="Times New Roman"/>
                <w:color w:val="444444"/>
                <w:sz w:val="18"/>
              </w:rPr>
              <w:t>47.7%</w:t>
            </w:r>
          </w:p>
        </w:tc>
      </w:tr>
      <w:tr>
        <w:tc>
          <w:tcPr>
            <w:tcW w:type="dxa" w:w="2880"/>
            <w:vAlign w:val="center"/>
          </w:tcPr>
          <w:p>
            <w:pPr>
              <w:jc w:val="center"/>
            </w:pPr>
            <w:r/>
            <w:r>
              <w:rPr>
                <w:rFonts w:ascii="Times New Roman" w:hAnsi="Times New Roman"/>
                <w:color w:val="444444"/>
                <w:sz w:val="18"/>
              </w:rPr>
              <w:t>GAAP Net Income/(Loss)</w:t>
            </w:r>
          </w:p>
        </w:tc>
        <w:tc>
          <w:tcPr>
            <w:tcW w:type="dxa" w:w="2160"/>
            <w:vAlign w:val="center"/>
          </w:tcPr>
          <w:p>
            <w:pPr>
              <w:jc w:val="center"/>
            </w:pPr>
            <w:r/>
            <w:r>
              <w:rPr>
                <w:rFonts w:ascii="Times New Roman" w:hAnsi="Times New Roman"/>
                <w:color w:val="444444"/>
                <w:sz w:val="18"/>
              </w:rPr>
              <w:t>($127.2M)</w:t>
            </w:r>
          </w:p>
        </w:tc>
        <w:tc>
          <w:tcPr>
            <w:tcW w:type="dxa" w:w="2160"/>
            <w:vAlign w:val="center"/>
          </w:tcPr>
          <w:p>
            <w:pPr>
              <w:jc w:val="center"/>
            </w:pPr>
            <w:r/>
            <w:r>
              <w:rPr>
                <w:rFonts w:ascii="Times New Roman" w:hAnsi="Times New Roman"/>
                <w:color w:val="444444"/>
                <w:sz w:val="18"/>
              </w:rPr>
              <w:t>($481.6M)</w:t>
            </w:r>
          </w:p>
        </w:tc>
        <w:tc>
          <w:tcPr>
            <w:tcW w:type="dxa" w:w="2160"/>
            <w:vAlign w:val="center"/>
          </w:tcPr>
          <w:p>
            <w:pPr>
              <w:jc w:val="center"/>
            </w:pPr>
            <w:r/>
            <w:r>
              <w:rPr>
                <w:rFonts w:ascii="Times New Roman" w:hAnsi="Times New Roman"/>
                <w:color w:val="444444"/>
                <w:sz w:val="18"/>
              </w:rPr>
              <w:t>$237.8M*</w:t>
            </w:r>
          </w:p>
        </w:tc>
      </w:tr>
      <w:tr>
        <w:tc>
          <w:tcPr>
            <w:tcW w:type="dxa" w:w="2880"/>
            <w:vAlign w:val="center"/>
            <w:shd w:val="clear" w:color="auto" w:fill="F0F0F0"/>
          </w:tcPr>
          <w:p>
            <w:pPr>
              <w:jc w:val="center"/>
            </w:pPr>
            <w:r/>
            <w:r>
              <w:rPr>
                <w:rFonts w:ascii="Times New Roman" w:hAnsi="Times New Roman"/>
                <w:color w:val="444444"/>
                <w:sz w:val="18"/>
              </w:rPr>
              <w:t>EPS (Diluted)</w:t>
            </w:r>
          </w:p>
        </w:tc>
        <w:tc>
          <w:tcPr>
            <w:tcW w:type="dxa" w:w="2160"/>
            <w:vAlign w:val="center"/>
            <w:shd w:val="clear" w:color="auto" w:fill="F0F0F0"/>
          </w:tcPr>
          <w:p>
            <w:pPr>
              <w:jc w:val="center"/>
            </w:pPr>
            <w:r/>
            <w:r>
              <w:rPr>
                <w:rFonts w:ascii="Times New Roman" w:hAnsi="Times New Roman"/>
                <w:color w:val="444444"/>
                <w:sz w:val="18"/>
              </w:rPr>
              <w:t>($2.92)</w:t>
            </w:r>
          </w:p>
        </w:tc>
        <w:tc>
          <w:tcPr>
            <w:tcW w:type="dxa" w:w="2160"/>
            <w:vAlign w:val="center"/>
            <w:shd w:val="clear" w:color="auto" w:fill="F0F0F0"/>
          </w:tcPr>
          <w:p>
            <w:pPr>
              <w:jc w:val="center"/>
            </w:pPr>
            <w:r/>
            <w:r>
              <w:rPr>
                <w:rFonts w:ascii="Times New Roman" w:hAnsi="Times New Roman"/>
                <w:color w:val="444444"/>
                <w:sz w:val="18"/>
              </w:rPr>
              <w:t>($9.90)</w:t>
            </w:r>
          </w:p>
        </w:tc>
        <w:tc>
          <w:tcPr>
            <w:tcW w:type="dxa" w:w="2160"/>
            <w:vAlign w:val="center"/>
            <w:shd w:val="clear" w:color="auto" w:fill="F0F0F0"/>
          </w:tcPr>
          <w:p>
            <w:pPr>
              <w:jc w:val="center"/>
            </w:pPr>
            <w:r/>
            <w:r>
              <w:rPr>
                <w:rFonts w:ascii="Times New Roman" w:hAnsi="Times New Roman"/>
                <w:color w:val="444444"/>
                <w:sz w:val="18"/>
              </w:rPr>
              <w:t>$1.38*</w:t>
            </w:r>
          </w:p>
        </w:tc>
      </w:tr>
    </w:tbl>
    <w:p>
      <w:pPr>
        <w:spacing w:before="40" w:after="120"/>
      </w:pPr>
      <w:r>
        <w:rPr>
          <w:rFonts w:ascii="Times New Roman" w:hAnsi="Times New Roman"/>
          <w:b w:val="0"/>
          <w:i/>
          <w:color w:val="444444"/>
          <w:sz w:val="16"/>
        </w:rPr>
        <w:t>*Includes $363.3M one-time non-cash gain. Adjusted net loss: $(75.7M).</w:t>
      </w:r>
    </w:p>
    <w:p>
      <w:pPr>
        <w:spacing w:before="40" w:after="40"/>
        <w:pBdr>
          <w:bottom w:val="single" w:sz="4" w:space="1" w:color="003366"/>
        </w:pBdr>
      </w:pPr>
    </w:p>
    <w:p>
      <w:pPr>
        <w:spacing w:before="160" w:after="80"/>
      </w:pPr>
      <w:r>
        <w:rPr>
          <w:rFonts w:ascii="Times New Roman" w:hAnsi="Times New Roman"/>
          <w:b/>
          <w:color w:val="003366"/>
          <w:sz w:val="26"/>
        </w:rPr>
        <w:t>SOURCES &amp; REFERENCES</w:t>
      </w:r>
    </w:p>
    <w:p>
      <w:pPr>
        <w:spacing w:before="40" w:after="40"/>
      </w:pPr>
      <w:r>
        <w:rPr>
          <w:rFonts w:ascii="Times New Roman" w:hAnsi="Times New Roman"/>
          <w:b/>
          <w:color w:val="003366"/>
          <w:sz w:val="18"/>
        </w:rPr>
        <w:t>Earnings / IPO Materials:</w:t>
        <w:br/>
      </w:r>
    </w:p>
    <w:p>
      <w:pPr>
        <w:spacing w:before="20" w:after="20"/>
      </w:pPr>
      <w:r>
        <w:rPr>
          <w:rFonts w:ascii="Times New Roman" w:hAnsi="Times New Roman"/>
          <w:color w:val="444444"/>
          <w:sz w:val="18"/>
        </w:rPr>
        <w:t xml:space="preserve">• S-1 Registration Statement (Filed April 17, 2026): </w:t>
      </w:r>
      <w:hyperlink r:id="rId19">
        <w:r>
          <w:rPr>
            <w:rStyle w:val="Hyperlink"/>
            <w:color w:val="0066CC"/>
            <w:u w:val="single"/>
            <w:sz w:val="20"/>
          </w:rPr>
          <w:t>SEC EDGAR Filing</w:t>
        </w:r>
      </w:hyperlink>
    </w:p>
    <w:p>
      <w:pPr>
        <w:spacing w:before="20" w:after="20"/>
      </w:pPr>
      <w:r>
        <w:rPr>
          <w:rFonts w:ascii="Times New Roman" w:hAnsi="Times New Roman"/>
          <w:color w:val="444444"/>
          <w:sz w:val="18"/>
        </w:rPr>
        <w:t xml:space="preserve">• Amended S-1 (Filed May 4, 2026): </w:t>
      </w:r>
      <w:hyperlink r:id="rId20">
        <w:r>
          <w:rPr>
            <w:rStyle w:val="Hyperlink"/>
            <w:color w:val="0066CC"/>
            <w:u w:val="single"/>
            <w:sz w:val="20"/>
          </w:rPr>
          <w:t>SEC EDGAR</w:t>
        </w:r>
      </w:hyperlink>
    </w:p>
    <w:p>
      <w:pPr>
        <w:spacing w:before="20" w:after="20"/>
      </w:pPr>
      <w:r>
        <w:rPr>
          <w:rFonts w:ascii="Times New Roman" w:hAnsi="Times New Roman"/>
          <w:color w:val="444444"/>
          <w:sz w:val="18"/>
        </w:rPr>
        <w:t xml:space="preserve">• IPO Pricing Report (May 14, 2026): </w:t>
      </w:r>
      <w:hyperlink r:id="rId21">
        <w:r>
          <w:rPr>
            <w:rStyle w:val="Hyperlink"/>
            <w:color w:val="0066CC"/>
            <w:u w:val="single"/>
            <w:sz w:val="20"/>
          </w:rPr>
          <w:t>CNBC Coverage</w:t>
        </w:r>
      </w:hyperlink>
    </w:p>
    <w:p>
      <w:pPr>
        <w:spacing w:before="20" w:after="20"/>
      </w:pPr>
      <w:r>
        <w:rPr>
          <w:rFonts w:ascii="Times New Roman" w:hAnsi="Times New Roman"/>
          <w:color w:val="444444"/>
          <w:sz w:val="18"/>
        </w:rPr>
        <w:t xml:space="preserve">• Financial Data: </w:t>
      </w:r>
      <w:hyperlink r:id="rId22">
        <w:r>
          <w:rPr>
            <w:rStyle w:val="Hyperlink"/>
            <w:color w:val="0066CC"/>
            <w:u w:val="single"/>
            <w:sz w:val="20"/>
          </w:rPr>
          <w:t>StockAnalysis.com — CBRS Financials</w:t>
        </w:r>
      </w:hyperlink>
    </w:p>
    <w:p>
      <w:pPr>
        <w:spacing w:before="20" w:after="20"/>
      </w:pPr>
      <w:r>
        <w:rPr>
          <w:rFonts w:ascii="Times New Roman" w:hAnsi="Times New Roman"/>
          <w:color w:val="444444"/>
          <w:sz w:val="18"/>
        </w:rPr>
        <w:t xml:space="preserve">• S-1 Teardown Analysis: </w:t>
      </w:r>
      <w:hyperlink r:id="rId23">
        <w:r>
          <w:rPr>
            <w:rStyle w:val="Hyperlink"/>
            <w:color w:val="0066CC"/>
            <w:u w:val="single"/>
            <w:sz w:val="20"/>
          </w:rPr>
          <w:t>Futurum Group</w:t>
        </w:r>
      </w:hyperlink>
    </w:p>
    <w:p>
      <w:pPr>
        <w:spacing w:before="20" w:after="20"/>
      </w:pPr>
      <w:r>
        <w:rPr>
          <w:rFonts w:ascii="Times New Roman" w:hAnsi="Times New Roman"/>
          <w:color w:val="444444"/>
          <w:sz w:val="18"/>
        </w:rPr>
        <w:t>• Market Data: Yahoo Finance, yfinance API (as of May 16, 2026)</w:t>
      </w:r>
    </w:p>
    <w:p>
      <w:pPr>
        <w:spacing w:before="200" w:after="0"/>
      </w:pPr>
      <w:r>
        <w:rPr>
          <w:rFonts w:ascii="Times New Roman" w:hAnsi="Times New Roman"/>
          <w:b w:val="0"/>
          <w:i w:val="0"/>
          <w:color w:val="444444"/>
          <w:sz w:val="12"/>
        </w:rPr>
      </w:r>
    </w:p>
    <w:p>
      <w:pPr>
        <w:spacing w:before="120" w:after="40"/>
      </w:pPr>
      <w:r>
        <w:rPr>
          <w:rFonts w:ascii="Times New Roman" w:hAnsi="Times New Roman"/>
          <w:b w:val="0"/>
          <w:i/>
          <w:color w:val="444444"/>
          <w:sz w:val="14"/>
        </w:rPr>
        <w:t>DISCLAIMER: This report is for informational purposes only and does not constitute investment advice. All financial data is sourced from public filings and third-party data providers. Past performance is not indicative of future results. Investors should conduct their own due diligence before making investment decisions.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www.sec.gov/Archives/edgar/data/2021728/000162828026025762/cerebras-sx1april2026.htm" TargetMode="External"/><Relationship Id="rId20" Type="http://schemas.openxmlformats.org/officeDocument/2006/relationships/hyperlink" Target="https://www.sec.gov/cgi-bin/browse-edgar?action=getcompany&amp;CIK=0002021728&amp;type=S-1&amp;dateb=&amp;owner=include&amp;count=40" TargetMode="External"/><Relationship Id="rId21" Type="http://schemas.openxmlformats.org/officeDocument/2006/relationships/hyperlink" Target="https://www.cnbc.com/2026/05/14/cerebras-cbrs-stock-trade-nasdaq-ipo.html" TargetMode="External"/><Relationship Id="rId22" Type="http://schemas.openxmlformats.org/officeDocument/2006/relationships/hyperlink" Target="https://stockanalysis.com/stocks/cbrs/financials/" TargetMode="External"/><Relationship Id="rId23" Type="http://schemas.openxmlformats.org/officeDocument/2006/relationships/hyperlink" Target="https://futurumgroup.com/insights/cerebras-s-1-teardown-is-the-23b-wafer-scale-ipo-the-end-of-gpu-homogene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