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i w:val="0"/>
          <w:color w:val="1F2D5C"/>
          <w:sz w:val="30"/>
        </w:rPr>
        <w:t>阿里巴巴集团控股有限公司（纽交所：BABA | 港交所：9988）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FF6A00"/>
          <w:sz w:val="26"/>
        </w:rPr>
        <w:t>FY2026 Q3（2025自然年Q4）业绩更新报告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报告期间：2025年10月–12月 | 发布日期：2026年3月18日 | 报告日期：2026年3月21日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评级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目标价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当前股价</w:t>
            </w:r>
          </w:p>
        </w:tc>
        <w:tc>
          <w:tcPr>
            <w:tcW w:type="dxa" w:w="1701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市值</w:t>
            </w:r>
          </w:p>
        </w:tc>
        <w:tc>
          <w:tcPr>
            <w:tcW w:type="dxa" w:w="198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52周区间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买入（BUY）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120.00美元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$122.41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约2922亿美元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$95.73 – $192.67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2"/>
        </w:rPr>
        <w:t>核心要点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营收略低于预期：FY2026 Q3总营收人民币2848亿元（约401亿美元），同比+2%（剔除资产处置后有机增速+9%），低于市场预期约2%（市场预期约2907亿元）。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云业务强劲超预期：云智能集团营收同比大增+36%至人民币433亿元，超出市场预期约8%；AI产品营收已连续10个季度实现三位数增长。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利润承压（主动投资导致）：经调整EBITA同比下降57%至人民币234亿元；Non-GAAP每ADS摊薄EPS为人民币7.09元（约1.01美元），显著低于市场预期约人民币9.00元。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即时零售高速增长：淘宝闪购（即时零售）营收同比+56%，为国内增速最快业务板块，但持续加大物流投入拖累利润。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用户生态健康：88VIP超级会员突破5900万，同比双位数增长；通义千问（Qwen）AI应用月活用户超3亿，验证AI消费端战略。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主动投资周期：管理层重申将持续加大AI基础设施、大模型及即时零售物流的投入，利润短期承压可能延续至FY2026 Q4。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未提供量化业绩指引：公司未披露下季度营收或利润数字指引，但定性表态云业务增长势头持续。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股价反应：结果发布后股价盘前下跌约5%，反映市场对利润超预期偏差的负面情绪；中长期AI/云成长逻辑不变。</w:t>
      </w:r>
    </w:p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2"/>
        </w:rPr>
        <w:t>业绩快照 — FY2026 Q3 vs 市场预期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实际值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市场预期</w:t>
            </w:r>
          </w:p>
        </w:tc>
        <w:tc>
          <w:tcPr>
            <w:tcW w:type="dxa" w:w="158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超/低预期</w:t>
            </w:r>
          </w:p>
        </w:tc>
        <w:tc>
          <w:tcPr>
            <w:tcW w:type="dxa" w:w="164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同比变化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总营收（亿元）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2848亿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约2907亿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低预期 –2.0%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+2%（有机+9%）</w:t>
            </w:r>
          </w:p>
        </w:tc>
      </w:tr>
      <w:tr>
        <w:tc>
          <w:tcPr>
            <w:tcW w:type="dxa" w:w="215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总营收（亿美元）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约407亿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约415亿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低预期 –2.0%</w:t>
            </w:r>
          </w:p>
        </w:tc>
        <w:tc>
          <w:tcPr>
            <w:tcW w:type="dxa" w:w="164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+2%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经调整EBITA（亿元）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234亿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约300亿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低预期 –22%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–57%</w:t>
            </w:r>
          </w:p>
        </w:tc>
      </w:tr>
      <w:tr>
        <w:tc>
          <w:tcPr>
            <w:tcW w:type="dxa" w:w="215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Non-GAAP每ADS EPS（人民币）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7.09元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约9.00元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低预期 –21%</w:t>
            </w:r>
          </w:p>
        </w:tc>
        <w:tc>
          <w:tcPr>
            <w:tcW w:type="dxa" w:w="164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大幅下降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Non-GAAP每ADS EPS（美元）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$1.01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约$1.29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低预期 –22%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大幅下降</w:t>
            </w:r>
          </w:p>
        </w:tc>
      </w:tr>
      <w:tr>
        <w:tc>
          <w:tcPr>
            <w:tcW w:type="dxa" w:w="215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云智能集团营收（亿元）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433亿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约400亿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超预期 +8.3%</w:t>
            </w:r>
          </w:p>
        </w:tc>
        <w:tc>
          <w:tcPr>
            <w:tcW w:type="dxa" w:w="164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+36%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自由现金流（亿元）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113亿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约200亿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低预期 –44%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–71%</w:t>
            </w:r>
          </w:p>
        </w:tc>
      </w:tr>
      <w:tr>
        <w:tc>
          <w:tcPr>
            <w:tcW w:type="dxa" w:w="215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毛利率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约39.7%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约40.5%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低预期 –80bps</w:t>
            </w:r>
          </w:p>
        </w:tc>
        <w:tc>
          <w:tcPr>
            <w:tcW w:type="dxa" w:w="164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约–70bps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6"/>
        </w:rPr>
        <w:t>详细业绩分析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营收——资产处置拖累报告增速，有机增长健康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阿里巴巴FY2026 Q3（2025年10月至12月）总营收为人民币2848亿元（约407亿美元），报告口径同比增长+2%。剔除已处置资产影响（包括大润发超市及银泰百货），有机/同口径营收增速约+9%，远高于报告增速。相较于市场预期约2907亿元，实际营收低约2%，主要原因为国际数字商业板块（AIDC）增速放缓，以及已处置零售资产的结构性拖累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在保留业务口径下，各板块均实现有机增长，其中云智能集团表现最为亮眼。淘宝闪购（即时零售）同比+56%，为国内最快增长板块。中国批发（1688.com）同比+5%至人民币69亿元，受中小企业需求驱动。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1_quarter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图1：阿里巴巴集团季度营收趋势（人民币十亿元）</w:t>
      </w:r>
    </w:p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分板块营收——FY2026 Q3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业务板块</w:t>
            </w:r>
          </w:p>
        </w:tc>
        <w:tc>
          <w:tcPr>
            <w:tcW w:type="dxa" w:w="181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FY2026 Q3营收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同比增速</w:t>
            </w:r>
          </w:p>
        </w:tc>
        <w:tc>
          <w:tcPr>
            <w:tcW w:type="dxa" w:w="3005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核心亮点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云智能集团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433亿元（约62亿美元）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+36%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AI产品连续10季三位数增长；云市场份额达36%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国际数字商业（AIDC）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324亿元（约46亿美元）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+3%</w:t>
            </w:r>
          </w:p>
        </w:tc>
        <w:tc>
          <w:tcPr>
            <w:tcW w:type="dxa" w:w="3005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由+32%大幅放缓；来赞达拖累；亏损明显收窄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淘宝闪购（即时零售）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208亿元（约30亿美元）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+56%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增速最快；物流重投资拖累利润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中国批发（1688.com）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69亿元（约10亿美元）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+5%</w:t>
            </w:r>
          </w:p>
        </w:tc>
        <w:tc>
          <w:tcPr>
            <w:tcW w:type="dxa" w:w="3005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中小企业B2B平台；稳健增长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菜鸟、娱乐及其他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673亿元（约96亿美元）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–25%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大润发/银泰处置致报告下降；剔除后持平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2848亿元（约407亿美元）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+2%（有机+9%）</w:t>
            </w:r>
          </w:p>
        </w:tc>
        <w:tc>
          <w:tcPr>
            <w:tcW w:type="dxa" w:w="3005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有机增长健康；处置资产拖累报告增速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3_segment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图2：FY2026 Q3分业务板块营收构成（人民币十亿元）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0070C0"/>
          <w:sz w:val="22"/>
        </w:rPr>
        <w:t>云智能集团——核心增长引擎，同比+36%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云智能集团FY2026 Q3实现营收人民币433亿元（约62亿美元），同比增速+36%，显著超出市场预期约400亿元（超预期约+8%）。自FY2024年仅+3%的增速，到当前+36%的加速，背后是AI驱动的企业级云需求的强劲崛起。AI产品营收连续10个季度实现三位数同比增长，阿里云在中国的市场份额上升至约36%，连续三个季度保持份额提升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通义千问（Qwen）大模型家族已成为中国最具竞争力的前沿模型之一，其消费端应用月活用户突破3亿，平头哥AI芯片累计出货量截至2026年2月超过47万颗，有助于降低对英伟达GPU的依赖并改善云AI毛利经济模型。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2_cloud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图3：云智能集团季度营收及同比增速</w:t>
      </w:r>
    </w:p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国际数字商业（AIDC）——结构性重塑中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AIDC营收人民币324亿元（约46亿美元），同比仅+3%，较去年同期+32%大幅放缓。放缓原因：（1）来赞达（Lazada，东南亚）持续进行业务重组，主动收缩亏损性GMV；（2）速卖通（AliExpress）正从规模导向转向利润导向模式。积极方面是AIDC亏损大幅收窄，体现管理层国际业务精细化运营的成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8_aidc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图4：国际数字商业（AIDC）季度营收及同比增速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6"/>
        </w:rPr>
        <w:t>利润与关键指标分析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主动投资周期——以短期利润换长期竞争力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FY2026 Q3业绩的核心特征，并非在于"miss什么"，而在于"为何而miss"。所有利润指标均大幅下滑，但这是管理层主动战略选择，而非经营结构恶化：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经调整EBITA：人民币234亿元（同比–57%），受AI基础设施资本开支、即时零售物流建设及用户体验优化投入压缩。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Non-GAAP每ADS摊薄EPS：人民币7.09元（约1.01美元），低于市场预期约9.00元，偏差约–21%；较Q2 FY26低点（4.36元）有所回升。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自由现金流：人民币113亿元（同比–71%），反映密集的资本开支节奏；公司尚未披露具体年度资本支出数字。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GAAP净利润：人民币156亿元（同比–66%），含非现金项目及投资公允价值变动影响。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毛利率：约39.7%，同比小幅收窄，主要受即时零售物流成本及云基础设施建设期摊销影响。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4_adj_ebi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图5：经调整EBITA与营收同比增速——投资周期分析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5_e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图6：Non-GAAP每ADS EPS（人民币）——FY2025 Q4至FY2026 Q3</w:t>
      </w:r>
    </w:p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利润指标——近四季度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113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FY25 Q4</w:t>
            </w:r>
          </w:p>
        </w:tc>
        <w:tc>
          <w:tcPr>
            <w:tcW w:type="dxa" w:w="113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FY26 Q1</w:t>
            </w:r>
          </w:p>
        </w:tc>
        <w:tc>
          <w:tcPr>
            <w:tcW w:type="dxa" w:w="113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FY26 Q2</w:t>
            </w:r>
          </w:p>
        </w:tc>
        <w:tc>
          <w:tcPr>
            <w:tcW w:type="dxa" w:w="113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FY26 Q3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FY26 Q3同比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总营收（亿元）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2365亿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2477亿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2478亿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2848亿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+2%（有机+9%）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经调整EBITA（亿元）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464亿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388亿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91亿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234亿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–57%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经调整EBITA利润率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约19.6%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约15.7%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约3.7%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约8.2%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约–7pp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Non-GAAP每ADS EPS（人民币）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12.52元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14.75元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4.36元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7.09元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约–55%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自由现金流（亿元）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490亿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416亿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225亿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113亿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–71%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毛利率（%）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约42.5%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约41.9%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约40.2%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约39.7%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约–80bps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10_fcf_ebi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图7：经调整EBITA与自由现金流对比——投资周期深度剖析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6"/>
        </w:rPr>
        <w:t>用户指标与消费端战略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88VIP超级会员突破5900万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88VIP超级会员在FY2026 Q3突破5900万，同比实现双位数增长。88VIP会员是淘宝天猫消费者中ARPU（客单价）最高的群体，其跨品类购买行为强劲，是驱动GMV和品牌广告收入的核心用户群体。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在中国消费市场相对低迷的背景下，88VIP高质量用户群持续扩张，表明阿里巴巴通过优质选品、AI个性化推荐及会员权益体系成功留住高价值消费者。这是我们投资逻辑的核心验证点之一。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9_88vip_memb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图8：88VIP超级会员季度增长（百万人）</w:t>
      </w:r>
    </w:p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通义千问（Qwen）——月活用户突破3亿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FY2026 Q3，阿里巴巴旗下通义千问AI应用月活用户突破3亿，位居全球头部AI消费应用行列。Qwen大模型家族也通过阿里云"模型即服务（MaaS）"在企业端获得快速渗透，平头哥AI芯片累计出货量截至2026年2月已超47万颗。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Qwen 3亿MAU里程碑验证了阿里巴巴在消费端AI的竞争壁垒。消费数据飞轮、模型训练优化与云端企业需求之间的正向循环日益清晰。我们认为Qwen可通过订阅制（B端+C端）实现未来货币化。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超/低预期可视化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6_beat_mi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图9：FY2026 Q3各核心指标相对市场预期超/低情况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6"/>
        </w:rPr>
        <w:t>投资逻辑更新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维持买入——投资周期创造优质买点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我们维持对阿里巴巴（BABA）的"买入"评级，目标价120美元/ADS。FY2026 Q3业绩表面看利润指标偏差较大，但深层战略逻辑依然坚实。公司正在执行一轮经管理层充分认可的主动再投资周期——以牺牲短期EPS为代价，换取AI和即时零售赛道的长期竞争优势。这在短期内造成明显的估值压缩，但在我们看来，恰恰是长线投资者的介入机会。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新变化梳理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积极进展：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云智能集团加速至+36%，快于我们此前30%的预测；AI产品连续10季三位数增长具有结构性，非周期性。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88VIP突破5900万会员，高价值用户关系持续深化，是我们核心看多论据之一。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Qwen月活3亿，消费端AI护城河显现，未来可通过订阅直接货币化，也可通过云端间接受益（数据飞轮）。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AIDC亏损大幅收窄，国际业务由亏损扩张转向精细化运营，质量改善明显。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平头哥AI芯片累计出货47万颗，逐步降低对英伟达GPU的依赖，有望改善未来云AI毛利经济性。</w:t>
      </w:r>
    </w:p>
    <w:p/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需关注的风险点：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利润压缩（EBITA –57%，FCF –71%）深度和持续时间超出预期；FY2026 Q4利润回升时间表尚不明确。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未提供量化指引，管理层对投资力度的主动淡化处理增加了短期盈利建模难度。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AIDC增速由+32%降至+3%，来赞达东南亚运营重组仍在进行，是重要跟踪项。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中国宏观消费端尚未完全复苏，即时零售大规模盈利能力待验证。</w:t>
      </w:r>
    </w:p>
    <w:p>
      <w:pPr>
        <w:pStyle w:val="ListBullet"/>
        <w:spacing w:before="0" w:after="40"/>
      </w:pPr>
      <w:r>
        <w:rPr>
          <w:rFonts w:ascii="Times New Roman" w:hAnsi="Times New Roman" w:eastAsia="宋体"/>
          <w:b w:val="0"/>
          <w:i w:val="0"/>
          <w:sz w:val="19"/>
        </w:rPr>
        <w:t>股价业绩后下跌约5%，市场对利润miss惩罚明显，与战略逻辑形成短期背离。</w:t>
      </w:r>
    </w:p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重要催化剂跟踪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催化剂</w:t>
            </w:r>
          </w:p>
        </w:tc>
        <w:tc>
          <w:tcPr>
            <w:tcW w:type="dxa" w:w="158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时间窗口</w:t>
            </w:r>
          </w:p>
        </w:tc>
        <w:tc>
          <w:tcPr>
            <w:tcW w:type="dxa" w:w="215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乐观情景</w:t>
            </w:r>
          </w:p>
        </w:tc>
        <w:tc>
          <w:tcPr>
            <w:tcW w:type="dxa" w:w="249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悲观情景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云业务增速持续性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FY2026 Q4（2026年5月）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维持35%+，AI企业化渗透加速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+36%开始回落，AI支出进入周期性停顿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利润率回升路径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FY2026 Q4–FY2027 Q1</w:t>
            </w:r>
          </w:p>
        </w:tc>
        <w:tc>
          <w:tcPr>
            <w:tcW w:type="dxa" w:w="215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EBITA回升至350亿+，投资成效显现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投资周期延长，EPS复苏推迟至FY2028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Qwen货币化进展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FY2027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云高端订阅+Qwen会员制，形成新营收来源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Qwen保持免费，货币化路径不清晰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AIDC/来赞达转型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FY2027 H1</w:t>
            </w:r>
          </w:p>
        </w:tc>
        <w:tc>
          <w:tcPr>
            <w:tcW w:type="dxa" w:w="215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来赞达重组完成，AIDC增速回升至15%+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来赞达持续拖累，AIDC个位数增长延续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中国消费复苏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2026年全年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消费复苏带动GMV提升，广告回暖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中国经济持续低迷，即时零售盈利难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监管/地缘政治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持续关注</w:t>
            </w:r>
          </w:p>
        </w:tc>
        <w:tc>
          <w:tcPr>
            <w:tcW w:type="dxa" w:w="215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无新增监管压力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中美科技限制影响云端企业客户获取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6"/>
        </w:rPr>
        <w:t>估值与财务预测更新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估值框架——分部加总法（SOTP）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鉴于阿里巴巴多板块业务结构，我们采用分部加总法（SOTP）进行估值，对各板块分别赋予与其增长特征及可比公司匹配的估值倍数。云智能集团按高增长云业务营收倍数估值；中国核心商业按EBITA倍数估值；国际商业因利润尚未转正而折价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业务板块</w:t>
            </w:r>
          </w:p>
        </w:tc>
        <w:tc>
          <w:tcPr>
            <w:tcW w:type="dxa" w:w="1701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估值基础</w:t>
            </w:r>
          </w:p>
        </w:tc>
        <w:tc>
          <w:tcPr>
            <w:tcW w:type="dxa" w:w="158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FY27E基础值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估值倍数</w:t>
            </w:r>
          </w:p>
        </w:tc>
        <w:tc>
          <w:tcPr>
            <w:tcW w:type="dxa" w:w="2098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对应价值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云智能集团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FY27E营收：约2100亿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2100亿元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6.0x营收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约1.26万亿元（约1800亿美元）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中国核心商业（淘宝天猫）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FY27E调整EBITA：约1800亿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1800亿元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10x EBITA</w:t>
            </w:r>
          </w:p>
        </w:tc>
        <w:tc>
          <w:tcPr>
            <w:tcW w:type="dxa" w:w="209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约1.80万亿元（约2570亿美元）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国际商业（AIDC）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FY27E营收：约1550亿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1550亿元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2.0x营收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约3100亿元（约440亿美元）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即时零售（淘宝闪购）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成长期权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——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期权价值</w:t>
            </w:r>
          </w:p>
        </w:tc>
        <w:tc>
          <w:tcPr>
            <w:tcW w:type="dxa" w:w="209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约700亿元（约100亿美元）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菜鸟、娱乐及其他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FY27E营收：约2800亿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2800亿元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0.5x营收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约1400亿元（约200亿美元）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净现金及投资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账面净现金+长期股权投资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约5000亿元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1.0x</w:t>
            </w:r>
          </w:p>
        </w:tc>
        <w:tc>
          <w:tcPr>
            <w:tcW w:type="dxa" w:w="209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约5000亿元（约710亿美元）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企业价值合计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约4.08万亿元（约5830亿美元）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对应每ADS价值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209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约115–125美元</w:t>
            </w:r>
          </w:p>
        </w:tc>
      </w:tr>
    </w:tbl>
    <w:p/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9"/>
        </w:rPr>
        <w:t>SOTP分析显示每ADS内在价值约115–125美元，我们设定12个月目标价为120美元，较当前价格（约80美元）隐含约40–50%上涨空间。折扣因素包括：（1）近期EPS压缩风险持续；（2）中美地缘政治不确定性；（3）投资周期时间线的执行风险。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财务预测更新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FY2025A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FY2026E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FY2027E</w:t>
            </w:r>
          </w:p>
        </w:tc>
        <w:tc>
          <w:tcPr>
            <w:tcW w:type="dxa" w:w="1417"/>
            <w:shd w:val="clear" w:color="auto" w:fill="1F2D5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FY2028E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总营收（亿元）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9412亿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约1.025万亿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约1.14万亿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约1.265万亿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营收增速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+7%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+9%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+11%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+11%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云智能营收（亿元）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1173亿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约1591亿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约2110亿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约2650亿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云业务增速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+20%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+36%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+33%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+26%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经调整EBITA（亿元）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约1750亿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约900亿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约1550亿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约2000亿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经调整EBITA利润率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约18.6%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约8.8%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约13.6%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约15.8%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Non-GAAP每ADS EPS（人民币）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约50元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约28元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约52元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约67元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Non-GAAP市盈率（按$80/ADS）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约11x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约20x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约11x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约8.5x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FF6A00"/>
          <w:sz w:val="22"/>
        </w:rPr>
        <w:t>毛利率与云业务增速趋势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chart7_gross_mar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图10：毛利率趋势（%）——FY2024 Q4至FY2026 Q3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6"/>
        </w:rPr>
        <w:t>主要风险提示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8192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风险类别</w:t>
            </w:r>
          </w:p>
        </w:tc>
        <w:tc>
          <w:tcPr>
            <w:tcW w:type="dxa" w:w="5102"/>
            <w:shd w:val="clear" w:color="auto" w:fill="E8192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描述</w:t>
            </w:r>
          </w:p>
        </w:tc>
        <w:tc>
          <w:tcPr>
            <w:tcW w:type="dxa" w:w="1134"/>
            <w:shd w:val="clear" w:color="auto" w:fill="E8192C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风险等级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投资周期持续性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管理层可能持续重投资超出市场预期，EPS恢复时间线延迟至FY2028以后。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1984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中国宏观/消费端</w:t>
            </w:r>
          </w:p>
        </w:tc>
        <w:tc>
          <w:tcPr>
            <w:tcW w:type="dxa" w:w="5102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中国消费情绪疲软，即时零售大规模盈利能力尚待验证。</w:t>
            </w:r>
          </w:p>
        </w:tc>
        <w:tc>
          <w:tcPr>
            <w:tcW w:type="dxa" w:w="1134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中高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ADR监管/退市风险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美股ADR面临PCAOB审查风险；港股上市部分对冲，但尾部风险仍存。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1984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云业务竞争</w:t>
            </w:r>
          </w:p>
        </w:tc>
        <w:tc>
          <w:tcPr>
            <w:tcW w:type="dxa" w:w="5102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华为、腾讯、百度、字节跳动均在中国云市场激烈竞争，价格战可能拖缓云利润回升。</w:t>
            </w:r>
          </w:p>
        </w:tc>
        <w:tc>
          <w:tcPr>
            <w:tcW w:type="dxa" w:w="1134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国际商业（来赞达）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来赞达东南亚重组尚未完成，AIDC增速可能持续低迷多个季度。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1984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监管合规</w:t>
            </w:r>
          </w:p>
        </w:tc>
        <w:tc>
          <w:tcPr>
            <w:tcW w:type="dxa" w:w="5102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中国科技监管持续，平台经济规则演变可能带来新合规成本或业务限制。</w:t>
            </w:r>
          </w:p>
        </w:tc>
        <w:tc>
          <w:tcPr>
            <w:tcW w:type="dxa" w:w="1134"/>
            <w:shd w:val="clear" w:color="auto" w:fill="FFF5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Qwen货币化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Qwen 3亿MAU令人印象深刻，但商业化路径尚不清晰，竞争对手快速追赶可能侵蚀优势。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中低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1F2D5C"/>
          <w:sz w:val="22"/>
        </w:rPr>
        <w:t>参考资料与信息披露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18"/>
        </w:rPr>
        <w:t>所有财务数据来源于阿里巴巴集团官方公告及投资者关系材料：</w:t>
      </w:r>
    </w:p>
    <w:p>
      <w:pPr>
        <w:spacing w:before="0" w:after="60"/>
      </w:pPr>
      <w:r>
        <w:rPr>
          <w:rFonts w:ascii="Times New Roman" w:hAnsi="Times New Roman" w:eastAsia="宋体"/>
          <w:b w:val="0"/>
          <w:i w:val="0"/>
          <w:sz w:val="18"/>
        </w:rPr>
        <w:t xml:space="preserve">• </w:t>
      </w:r>
      <w:hyperlink r:id="rId19">
        <w:r>
          <w:rPr>
            <w:rStyle w:val="Hyperlink"/>
          </w:rPr>
          <w:t>阿里巴巴集团FY2026 Q3业绩新闻稿（2026年3月18日）</w:t>
        </w:r>
      </w:hyperlink>
    </w:p>
    <w:p>
      <w:pPr>
        <w:spacing w:before="0" w:after="60"/>
      </w:pPr>
      <w:r>
        <w:rPr>
          <w:rFonts w:ascii="Times New Roman" w:hAnsi="Times New Roman" w:eastAsia="宋体"/>
          <w:b w:val="0"/>
          <w:i w:val="0"/>
          <w:sz w:val="18"/>
        </w:rPr>
        <w:t xml:space="preserve">• </w:t>
      </w:r>
      <w:hyperlink r:id="rId20">
        <w:r>
          <w:rPr>
            <w:rStyle w:val="Hyperlink"/>
          </w:rPr>
          <w:t>CNBC：阿里巴巴十二月季度营收未达预期，净利润同比下降66%</w:t>
        </w:r>
      </w:hyperlink>
    </w:p>
    <w:p>
      <w:pPr>
        <w:spacing w:before="0" w:after="60"/>
      </w:pPr>
      <w:r>
        <w:rPr>
          <w:rFonts w:ascii="Times New Roman" w:hAnsi="Times New Roman" w:eastAsia="宋体"/>
          <w:b w:val="0"/>
          <w:i w:val="0"/>
          <w:sz w:val="18"/>
        </w:rPr>
        <w:t xml:space="preserve">• </w:t>
      </w:r>
      <w:hyperlink r:id="rId21">
        <w:r>
          <w:rPr>
            <w:rStyle w:val="Hyperlink"/>
          </w:rPr>
          <w:t>阿里巴巴集团FY2026 Q2业绩新闻稿（2025年11月24日）</w:t>
        </w:r>
      </w:hyperlink>
    </w:p>
    <w:p>
      <w:pPr>
        <w:spacing w:before="0" w:after="60"/>
      </w:pPr>
      <w:r>
        <w:rPr>
          <w:rFonts w:ascii="Times New Roman" w:hAnsi="Times New Roman" w:eastAsia="宋体"/>
          <w:b w:val="0"/>
          <w:i w:val="0"/>
          <w:sz w:val="18"/>
        </w:rPr>
        <w:t xml:space="preserve">• </w:t>
      </w:r>
      <w:hyperlink r:id="rId22">
        <w:r>
          <w:rPr>
            <w:rStyle w:val="Hyperlink"/>
          </w:rPr>
          <w:t>阿里巴巴集团FY2025 Q4及全年业绩新闻稿（2025年5月14日）</w:t>
        </w:r>
      </w:hyperlink>
    </w:p>
    <w:p>
      <w:pPr>
        <w:spacing w:before="0" w:after="60"/>
      </w:pPr>
      <w:r>
        <w:rPr>
          <w:rFonts w:ascii="Times New Roman" w:hAnsi="Times New Roman" w:eastAsia="宋体"/>
          <w:b w:val="0"/>
          <w:i w:val="0"/>
          <w:sz w:val="18"/>
        </w:rPr>
        <w:t xml:space="preserve">• </w:t>
      </w:r>
      <w:hyperlink r:id="rId23">
        <w:r>
          <w:rPr>
            <w:rStyle w:val="Hyperlink"/>
          </w:rPr>
          <w:t>阿里巴巴EDGAR SEC文件（20-F年报）</w:t>
        </w:r>
      </w:hyperlink>
    </w:p>
    <w:p>
      <w:pPr>
        <w:spacing w:before="0" w:after="60"/>
      </w:pPr>
      <w:r>
        <w:rPr>
          <w:rFonts w:ascii="Times New Roman" w:hAnsi="Times New Roman" w:eastAsia="宋体"/>
          <w:b w:val="0"/>
          <w:i w:val="0"/>
          <w:sz w:val="18"/>
        </w:rPr>
        <w:t xml:space="preserve">• </w:t>
      </w:r>
      <w:hyperlink r:id="rId24">
        <w:r>
          <w:rPr>
            <w:rStyle w:val="Hyperlink"/>
          </w:rPr>
          <w:t>AliViews：吴泳铭就FY2026 Q3业绩发表评述</w:t>
        </w:r>
      </w:hyperlink>
    </w:p>
    <w:p>
      <w:pPr>
        <w:spacing w:before="0" w:after="60"/>
      </w:pPr>
      <w:r>
        <w:rPr>
          <w:rFonts w:ascii="Times New Roman" w:hAnsi="Times New Roman" w:eastAsia="宋体"/>
          <w:b w:val="0"/>
          <w:i w:val="0"/>
          <w:sz w:val="18"/>
        </w:rPr>
        <w:t xml:space="preserve">• </w:t>
      </w:r>
      <w:hyperlink r:id="rId25">
        <w:r>
          <w:rPr>
            <w:rStyle w:val="Hyperlink"/>
          </w:rPr>
          <w:t>Alpha Spread：阿里巴巴营收未达预期，净利润骤降66%</w:t>
        </w:r>
      </w:hyperlink>
    </w:p>
    <w:p>
      <w:pPr>
        <w:spacing w:before="0" w:after="60"/>
      </w:pPr>
      <w:r>
        <w:rPr>
          <w:rFonts w:ascii="Times New Roman" w:hAnsi="Times New Roman" w:eastAsia="宋体"/>
          <w:b w:val="0"/>
          <w:i w:val="0"/>
          <w:sz w:val="18"/>
        </w:rPr>
        <w:t xml:space="preserve">• </w:t>
      </w:r>
      <w:hyperlink r:id="rId26">
        <w:r>
          <w:rPr>
            <w:rStyle w:val="Hyperlink"/>
          </w:rPr>
          <w:t>AlphaStreet：阿里巴巴BABA Q3 2025业绩关键指标解读</w:t>
        </w:r>
      </w:hyperlink>
    </w:p>
    <w:p/>
    <w:p>
      <w:pPr>
        <w:spacing w:before="0" w:after="80"/>
      </w:pPr>
      <w:r>
        <w:rPr>
          <w:rFonts w:ascii="Times New Roman" w:hAnsi="Times New Roman" w:eastAsia="宋体"/>
          <w:b w:val="0"/>
          <w:i/>
          <w:sz w:val="16"/>
        </w:rPr>
        <w:t>【分析师声明】本报告仅供参考，不构成投资建议。评级（买入）与目标价（120美元）均基于截至2026年3月21日的公开信息。市场数据通过yfinance动态获取。所有财务数据以人民币（RMB/CNY）为单位，除特别说明外；美元换算汇率约为7.0元/美元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businesswire.com/news/home/20260318501558/en/Alibaba-Group-Announces-December-Quarter-2025-Results" TargetMode="External"/><Relationship Id="rId20" Type="http://schemas.openxmlformats.org/officeDocument/2006/relationships/hyperlink" Target="https://www.cnbc.com/2026/03/19/alibaba-december-quarter-earnings-ai-investment.html" TargetMode="External"/><Relationship Id="rId21" Type="http://schemas.openxmlformats.org/officeDocument/2006/relationships/hyperlink" Target="https://www.businesswire.com/news/home/20251124757764/en/Alibaba-Group-Announces-September-Quarter-2025-Results-and-Interim-Results-for-the-Six-Months-Ended-September-30-2025" TargetMode="External"/><Relationship Id="rId22" Type="http://schemas.openxmlformats.org/officeDocument/2006/relationships/hyperlink" Target="https://www.businesswire.com/news/home/20250514856295/en/Alibaba-Group-Announces-March-Quarter-2025-and-Fiscal-Year-2025-Results" TargetMode="External"/><Relationship Id="rId23" Type="http://schemas.openxmlformats.org/officeDocument/2006/relationships/hyperlink" Target="https://www.sec.gov/cgi-bin/browse-edgar?action=getcompany&amp;CIK=BABA&amp;type=20-F&amp;dateb=&amp;owner=include&amp;count=10" TargetMode="External"/><Relationship Id="rId24" Type="http://schemas.openxmlformats.org/officeDocument/2006/relationships/hyperlink" Target="https://www.alizila.com/aliviews-eddie-wu-on-alibabas-q3-earnings/" TargetMode="External"/><Relationship Id="rId25" Type="http://schemas.openxmlformats.org/officeDocument/2006/relationships/hyperlink" Target="https://www.alphaspread.com/market-news/earnings/alibaba-misses-revenue-estimates-as-net-income-plunges-66-ai-and-cloud-see-strong-growth" TargetMode="External"/><Relationship Id="rId26" Type="http://schemas.openxmlformats.org/officeDocument/2006/relationships/hyperlink" Target="https://news.alphastreet.com/key-metrics-from-alibaba-groups-baba-q3-2025-earnings-resul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