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color w:val="1F2D5C"/>
          <w:sz w:val="30"/>
        </w:rPr>
        <w:t>ALIBABA GROUP HOLDING LIMITED (NYSE: BABA | HKEX: 9988)</w:t>
      </w:r>
    </w:p>
    <w:p>
      <w:pPr>
        <w:jc w:val="center"/>
      </w:pPr>
      <w:r>
        <w:rPr>
          <w:rFonts w:ascii="Times New Roman" w:hAnsi="Times New Roman"/>
          <w:b/>
          <w:i w:val="0"/>
          <w:color w:val="FF6A00"/>
          <w:sz w:val="26"/>
        </w:rPr>
        <w:t>Q3 FY2026 (Calendar Q4 2025) Earnings Update</w:t>
      </w:r>
    </w:p>
    <w:p>
      <w:pPr>
        <w:jc w:val="center"/>
      </w:pPr>
      <w:r>
        <w:rPr>
          <w:rFonts w:ascii="Times New Roman" w:hAnsi="Times New Roman"/>
          <w:b w:val="0"/>
          <w:i/>
          <w:color w:val="666666"/>
          <w:sz w:val="19"/>
        </w:rPr>
        <w:t>Quarter Ended December 31, 2025 | Reported March 18, 2026</w:t>
      </w:r>
    </w:p>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417"/>
            <w:shd w:val="clear" w:color="auto" w:fill="1F2D5C"/>
            <w:vAlign w:val="center"/>
          </w:tcPr>
          <w:p>
            <w:pPr>
              <w:jc w:val="center"/>
            </w:pPr>
            <w:r>
              <w:rPr>
                <w:rFonts w:ascii="Times New Roman" w:hAnsi="Times New Roman"/>
                <w:b/>
                <w:i w:val="0"/>
                <w:color w:val="FFFFFF"/>
                <w:sz w:val="18"/>
              </w:rPr>
              <w:t>Rating</w:t>
            </w:r>
          </w:p>
        </w:tc>
        <w:tc>
          <w:tcPr>
            <w:tcW w:type="dxa" w:w="1417"/>
            <w:shd w:val="clear" w:color="auto" w:fill="1F2D5C"/>
            <w:vAlign w:val="center"/>
          </w:tcPr>
          <w:p>
            <w:pPr>
              <w:jc w:val="center"/>
            </w:pPr>
            <w:r>
              <w:rPr>
                <w:rFonts w:ascii="Times New Roman" w:hAnsi="Times New Roman"/>
                <w:b/>
                <w:i w:val="0"/>
                <w:color w:val="FFFFFF"/>
                <w:sz w:val="18"/>
              </w:rPr>
              <w:t>Price Target</w:t>
            </w:r>
          </w:p>
        </w:tc>
        <w:tc>
          <w:tcPr>
            <w:tcW w:type="dxa" w:w="1417"/>
            <w:shd w:val="clear" w:color="auto" w:fill="1F2D5C"/>
            <w:vAlign w:val="center"/>
          </w:tcPr>
          <w:p>
            <w:pPr>
              <w:jc w:val="center"/>
            </w:pPr>
            <w:r>
              <w:rPr>
                <w:rFonts w:ascii="Times New Roman" w:hAnsi="Times New Roman"/>
                <w:b/>
                <w:i w:val="0"/>
                <w:color w:val="FFFFFF"/>
                <w:sz w:val="18"/>
              </w:rPr>
              <w:t>Current Price</w:t>
            </w:r>
          </w:p>
        </w:tc>
        <w:tc>
          <w:tcPr>
            <w:tcW w:type="dxa" w:w="1417"/>
            <w:shd w:val="clear" w:color="auto" w:fill="1F2D5C"/>
            <w:vAlign w:val="center"/>
          </w:tcPr>
          <w:p>
            <w:pPr>
              <w:jc w:val="center"/>
            </w:pPr>
            <w:r>
              <w:rPr>
                <w:rFonts w:ascii="Times New Roman" w:hAnsi="Times New Roman"/>
                <w:b/>
                <w:i w:val="0"/>
                <w:color w:val="FFFFFF"/>
                <w:sz w:val="18"/>
              </w:rPr>
              <w:t>Market Cap</w:t>
            </w:r>
          </w:p>
        </w:tc>
        <w:tc>
          <w:tcPr>
            <w:tcW w:type="dxa" w:w="1984"/>
            <w:shd w:val="clear" w:color="auto" w:fill="1F2D5C"/>
            <w:vAlign w:val="center"/>
          </w:tcPr>
          <w:p>
            <w:pPr>
              <w:jc w:val="center"/>
            </w:pPr>
            <w:r>
              <w:rPr>
                <w:rFonts w:ascii="Times New Roman" w:hAnsi="Times New Roman"/>
                <w:b/>
                <w:i w:val="0"/>
                <w:color w:val="FFFFFF"/>
                <w:sz w:val="18"/>
              </w:rPr>
              <w:t>52-Week Range</w:t>
            </w:r>
          </w:p>
        </w:tc>
      </w:tr>
      <w:tr>
        <w:tc>
          <w:tcPr>
            <w:tcW w:type="dxa" w:w="1417"/>
            <w:vAlign w:val="center"/>
          </w:tcPr>
          <w:p>
            <w:pPr>
              <w:jc w:val="center"/>
            </w:pPr>
            <w:r>
              <w:rPr>
                <w:rFonts w:ascii="Times New Roman" w:hAnsi="Times New Roman"/>
                <w:b w:val="0"/>
                <w:i w:val="0"/>
                <w:sz w:val="18"/>
              </w:rPr>
              <w:t>BUY</w:t>
            </w:r>
          </w:p>
        </w:tc>
        <w:tc>
          <w:tcPr>
            <w:tcW w:type="dxa" w:w="1417"/>
            <w:vAlign w:val="center"/>
          </w:tcPr>
          <w:p>
            <w:pPr>
              <w:jc w:val="center"/>
            </w:pPr>
            <w:r>
              <w:rPr>
                <w:rFonts w:ascii="Times New Roman" w:hAnsi="Times New Roman"/>
                <w:b w:val="0"/>
                <w:i w:val="0"/>
                <w:sz w:val="18"/>
              </w:rPr>
              <w:t>$120.00</w:t>
            </w:r>
          </w:p>
        </w:tc>
        <w:tc>
          <w:tcPr>
            <w:tcW w:type="dxa" w:w="1417"/>
            <w:vAlign w:val="center"/>
          </w:tcPr>
          <w:p>
            <w:pPr>
              <w:jc w:val="center"/>
            </w:pPr>
            <w:r>
              <w:rPr>
                <w:rFonts w:ascii="Times New Roman" w:hAnsi="Times New Roman"/>
                <w:b w:val="0"/>
                <w:i w:val="0"/>
                <w:sz w:val="18"/>
              </w:rPr>
              <w:t>$122.41</w:t>
            </w:r>
          </w:p>
        </w:tc>
        <w:tc>
          <w:tcPr>
            <w:tcW w:type="dxa" w:w="1417"/>
            <w:vAlign w:val="center"/>
          </w:tcPr>
          <w:p>
            <w:pPr>
              <w:jc w:val="center"/>
            </w:pPr>
            <w:r>
              <w:rPr>
                <w:rFonts w:ascii="Times New Roman" w:hAnsi="Times New Roman"/>
                <w:b w:val="0"/>
                <w:i w:val="0"/>
                <w:sz w:val="18"/>
              </w:rPr>
              <w:t>~$292B</w:t>
            </w:r>
          </w:p>
        </w:tc>
        <w:tc>
          <w:tcPr>
            <w:tcW w:type="dxa" w:w="1984"/>
            <w:vAlign w:val="center"/>
          </w:tcPr>
          <w:p>
            <w:pPr>
              <w:jc w:val="center"/>
            </w:pPr>
            <w:r>
              <w:rPr>
                <w:rFonts w:ascii="Times New Roman" w:hAnsi="Times New Roman"/>
                <w:b w:val="0"/>
                <w:i w:val="0"/>
                <w:sz w:val="18"/>
              </w:rPr>
              <w:t>$95.73 – $192.67</w:t>
            </w:r>
          </w:p>
        </w:tc>
      </w:tr>
    </w:tbl>
    <w:p/>
    <w:p>
      <w:pPr>
        <w:spacing w:before="200" w:after="80"/>
      </w:pPr>
      <w:r>
        <w:rPr>
          <w:rFonts w:ascii="Times New Roman" w:hAnsi="Times New Roman"/>
          <w:b/>
          <w:i w:val="0"/>
          <w:color w:val="1F2D5C"/>
          <w:sz w:val="22"/>
        </w:rPr>
        <w:t>KEY TAKEAWAYS</w:t>
      </w:r>
    </w:p>
    <w:p>
      <w:pPr>
        <w:pStyle w:val="ListBullet"/>
        <w:spacing w:before="0" w:after="40"/>
      </w:pPr>
      <w:r>
        <w:rPr>
          <w:rFonts w:ascii="Times New Roman" w:hAnsi="Times New Roman"/>
          <w:b w:val="0"/>
          <w:i w:val="0"/>
          <w:sz w:val="19"/>
        </w:rPr>
        <w:t>Revenue MISS: Q3 FY2026 total revenue of RMB 284.8B ($40.7B) came in ~2% below consensus of ~RMB 290.7B, driven by slower international commerce and ongoing divestiture headwinds.</w:t>
      </w:r>
    </w:p>
    <w:p>
      <w:pPr>
        <w:pStyle w:val="ListBullet"/>
        <w:spacing w:before="0" w:after="40"/>
      </w:pPr>
      <w:r>
        <w:rPr>
          <w:rFonts w:ascii="Times New Roman" w:hAnsi="Times New Roman"/>
          <w:b w:val="0"/>
          <w:i w:val="0"/>
          <w:sz w:val="19"/>
        </w:rPr>
        <w:t>Cloud BEAT: Cloud Intelligence Group revenue surged +36% YoY to RMB 43.3B ($6.2B), beating estimates by ~8%; AI product revenue maintained triple-digit growth for 10 consecutive quarters.</w:t>
      </w:r>
    </w:p>
    <w:p>
      <w:pPr>
        <w:pStyle w:val="ListBullet"/>
        <w:spacing w:before="0" w:after="40"/>
      </w:pPr>
      <w:r>
        <w:rPr>
          <w:rFonts w:ascii="Times New Roman" w:hAnsi="Times New Roman"/>
          <w:b w:val="0"/>
          <w:i w:val="0"/>
          <w:sz w:val="19"/>
        </w:rPr>
        <w:t>Profitability MISS: Non-GAAP EPS of RMB 7.09/ADS ($1.01) missed consensus ~RMB 9.00; Adjusted EBITA fell -57% YoY to RMB 23.4B — reflecting deliberate heavy investment in AI infrastructure and quick commerce.</w:t>
      </w:r>
    </w:p>
    <w:p>
      <w:pPr>
        <w:pStyle w:val="ListBullet"/>
        <w:spacing w:before="0" w:after="40"/>
      </w:pPr>
      <w:r>
        <w:rPr>
          <w:rFonts w:ascii="Times New Roman" w:hAnsi="Times New Roman"/>
          <w:b w:val="0"/>
          <w:i w:val="0"/>
          <w:sz w:val="19"/>
        </w:rPr>
        <w:t>Quick Commerce Surge: Taobao Instant Commerce (quick commerce) revenue +56% YoY — Alibaba's fastest-growing domestic commerce segment, though margin-dilutive.</w:t>
      </w:r>
    </w:p>
    <w:p>
      <w:pPr>
        <w:pStyle w:val="ListBullet"/>
        <w:spacing w:before="0" w:after="40"/>
      </w:pPr>
      <w:r>
        <w:rPr>
          <w:rFonts w:ascii="Times New Roman" w:hAnsi="Times New Roman"/>
          <w:b w:val="0"/>
          <w:i w:val="0"/>
          <w:sz w:val="19"/>
        </w:rPr>
        <w:t>User Momentum Strong: 88VIP members surpassed 59M (double-digit YoY growth); Qwen AI consumer app exceeded 300M monthly active users — validating AI consumer strategy.</w:t>
      </w:r>
    </w:p>
    <w:p>
      <w:pPr>
        <w:pStyle w:val="ListBullet"/>
        <w:spacing w:before="0" w:after="40"/>
      </w:pPr>
      <w:r>
        <w:rPr>
          <w:rFonts w:ascii="Times New Roman" w:hAnsi="Times New Roman"/>
          <w:b w:val="0"/>
          <w:i w:val="0"/>
          <w:sz w:val="19"/>
        </w:rPr>
        <w:t>Deliberate Investment Cycle: Management reaffirmed aggressive reinvestment in AI infrastructure, Qwen model, and quick commerce logistics. Near-term margin pressure is intentional and expected to persist into Q4 FY2026.</w:t>
      </w:r>
    </w:p>
    <w:p>
      <w:pPr>
        <w:pStyle w:val="ListBullet"/>
        <w:spacing w:before="0" w:after="40"/>
      </w:pPr>
      <w:r>
        <w:rPr>
          <w:rFonts w:ascii="Times New Roman" w:hAnsi="Times New Roman"/>
          <w:b w:val="0"/>
          <w:i w:val="0"/>
          <w:sz w:val="19"/>
        </w:rPr>
        <w:t>No Formal Guidance Issued: Alibaba declined to provide quantitative Q4 FY2026 revenue or earnings guidance; Cloud momentum and AI demand remain strong qualitative signals.</w:t>
      </w:r>
    </w:p>
    <w:p>
      <w:pPr>
        <w:pStyle w:val="ListBullet"/>
        <w:spacing w:before="0" w:after="40"/>
      </w:pPr>
      <w:r>
        <w:rPr>
          <w:rFonts w:ascii="Times New Roman" w:hAnsi="Times New Roman"/>
          <w:b w:val="0"/>
          <w:i w:val="0"/>
          <w:sz w:val="19"/>
        </w:rPr>
        <w:t>Stock Reaction: Shares fell ~5% in premarket on March 19 — market punished profitability miss; longer-term AI/cloud upside story intact.</w:t>
      </w:r>
    </w:p>
    <w:p/>
    <w:p>
      <w:pPr>
        <w:spacing w:before="200" w:after="80"/>
      </w:pPr>
      <w:r>
        <w:rPr>
          <w:rFonts w:ascii="Times New Roman" w:hAnsi="Times New Roman"/>
          <w:b/>
          <w:i w:val="0"/>
          <w:color w:val="1F2D5C"/>
          <w:sz w:val="22"/>
        </w:rPr>
        <w:t>RESULTS SNAPSHOT — Q3 FY2026 vs. Consensus Estimates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2268"/>
            <w:shd w:val="clear" w:color="auto" w:fill="1F2D5C"/>
            <w:vAlign w:val="center"/>
          </w:tcPr>
          <w:p>
            <w:pPr>
              <w:jc w:val="center"/>
            </w:pPr>
            <w:r>
              <w:rPr>
                <w:rFonts w:ascii="Times New Roman" w:hAnsi="Times New Roman"/>
                <w:b/>
                <w:i w:val="0"/>
                <w:color w:val="FFFFFF"/>
                <w:sz w:val="17"/>
              </w:rPr>
              <w:t>Metric</w:t>
            </w:r>
          </w:p>
        </w:tc>
        <w:tc>
          <w:tcPr>
            <w:tcW w:type="dxa" w:w="1417"/>
            <w:shd w:val="clear" w:color="auto" w:fill="1F2D5C"/>
            <w:vAlign w:val="center"/>
          </w:tcPr>
          <w:p>
            <w:pPr>
              <w:jc w:val="center"/>
            </w:pPr>
            <w:r>
              <w:rPr>
                <w:rFonts w:ascii="Times New Roman" w:hAnsi="Times New Roman"/>
                <w:b/>
                <w:i w:val="0"/>
                <w:color w:val="FFFFFF"/>
                <w:sz w:val="17"/>
              </w:rPr>
              <w:t>Actual</w:t>
            </w:r>
          </w:p>
        </w:tc>
        <w:tc>
          <w:tcPr>
            <w:tcW w:type="dxa" w:w="1417"/>
            <w:shd w:val="clear" w:color="auto" w:fill="1F2D5C"/>
            <w:vAlign w:val="center"/>
          </w:tcPr>
          <w:p>
            <w:pPr>
              <w:jc w:val="center"/>
            </w:pPr>
            <w:r>
              <w:rPr>
                <w:rFonts w:ascii="Times New Roman" w:hAnsi="Times New Roman"/>
                <w:b/>
                <w:i w:val="0"/>
                <w:color w:val="FFFFFF"/>
                <w:sz w:val="17"/>
              </w:rPr>
              <w:t>Consensus Est.</w:t>
            </w:r>
          </w:p>
        </w:tc>
        <w:tc>
          <w:tcPr>
            <w:tcW w:type="dxa" w:w="1417"/>
            <w:shd w:val="clear" w:color="auto" w:fill="1F2D5C"/>
            <w:vAlign w:val="center"/>
          </w:tcPr>
          <w:p>
            <w:pPr>
              <w:jc w:val="center"/>
            </w:pPr>
            <w:r>
              <w:rPr>
                <w:rFonts w:ascii="Times New Roman" w:hAnsi="Times New Roman"/>
                <w:b/>
                <w:i w:val="0"/>
                <w:color w:val="FFFFFF"/>
                <w:sz w:val="17"/>
              </w:rPr>
              <w:t>Beat / Miss</w:t>
            </w:r>
          </w:p>
        </w:tc>
        <w:tc>
          <w:tcPr>
            <w:tcW w:type="dxa" w:w="1701"/>
            <w:shd w:val="clear" w:color="auto" w:fill="1F2D5C"/>
            <w:vAlign w:val="center"/>
          </w:tcPr>
          <w:p>
            <w:pPr>
              <w:jc w:val="center"/>
            </w:pPr>
            <w:r>
              <w:rPr>
                <w:rFonts w:ascii="Times New Roman" w:hAnsi="Times New Roman"/>
                <w:b/>
                <w:i w:val="0"/>
                <w:color w:val="FFFFFF"/>
                <w:sz w:val="17"/>
              </w:rPr>
              <w:t>YoY Change</w:t>
            </w:r>
          </w:p>
        </w:tc>
      </w:tr>
      <w:tr>
        <w:tc>
          <w:tcPr>
            <w:tcW w:type="dxa" w:w="2268"/>
            <w:vAlign w:val="center"/>
          </w:tcPr>
          <w:p>
            <w:pPr>
              <w:jc w:val="center"/>
            </w:pPr>
            <w:r>
              <w:rPr>
                <w:rFonts w:ascii="Times New Roman" w:hAnsi="Times New Roman"/>
                <w:b w:val="0"/>
                <w:i w:val="0"/>
                <w:sz w:val="17"/>
              </w:rPr>
              <w:t>Total Revenue (RMB B)</w:t>
            </w:r>
          </w:p>
        </w:tc>
        <w:tc>
          <w:tcPr>
            <w:tcW w:type="dxa" w:w="1417"/>
            <w:vAlign w:val="center"/>
          </w:tcPr>
          <w:p>
            <w:pPr>
              <w:jc w:val="center"/>
            </w:pPr>
            <w:r>
              <w:rPr>
                <w:rFonts w:ascii="Times New Roman" w:hAnsi="Times New Roman"/>
                <w:b w:val="0"/>
                <w:i w:val="0"/>
                <w:sz w:val="17"/>
              </w:rPr>
              <w:t>¥284.8B</w:t>
            </w:r>
          </w:p>
        </w:tc>
        <w:tc>
          <w:tcPr>
            <w:tcW w:type="dxa" w:w="1417"/>
            <w:vAlign w:val="center"/>
          </w:tcPr>
          <w:p>
            <w:pPr>
              <w:jc w:val="center"/>
            </w:pPr>
            <w:r>
              <w:rPr>
                <w:rFonts w:ascii="Times New Roman" w:hAnsi="Times New Roman"/>
                <w:b w:val="0"/>
                <w:i w:val="0"/>
                <w:sz w:val="17"/>
              </w:rPr>
              <w:t>~¥290.7B</w:t>
            </w:r>
          </w:p>
        </w:tc>
        <w:tc>
          <w:tcPr>
            <w:tcW w:type="dxa" w:w="1417"/>
            <w:vAlign w:val="center"/>
          </w:tcPr>
          <w:p>
            <w:pPr>
              <w:jc w:val="center"/>
            </w:pPr>
            <w:r>
              <w:rPr>
                <w:rFonts w:ascii="Times New Roman" w:hAnsi="Times New Roman"/>
                <w:b w:val="0"/>
                <w:i w:val="0"/>
                <w:sz w:val="17"/>
              </w:rPr>
              <w:t>MISS  –2.0%</w:t>
            </w:r>
          </w:p>
        </w:tc>
        <w:tc>
          <w:tcPr>
            <w:tcW w:type="dxa" w:w="1701"/>
            <w:vAlign w:val="center"/>
          </w:tcPr>
          <w:p>
            <w:pPr>
              <w:jc w:val="center"/>
            </w:pPr>
            <w:r>
              <w:rPr>
                <w:rFonts w:ascii="Times New Roman" w:hAnsi="Times New Roman"/>
                <w:b w:val="0"/>
                <w:i w:val="0"/>
                <w:sz w:val="17"/>
              </w:rPr>
              <w:t>+2% reported</w:t>
              <w:br/>
              <w:t>(+9% LL)</w:t>
            </w:r>
          </w:p>
        </w:tc>
      </w:tr>
      <w:tr>
        <w:tc>
          <w:tcPr>
            <w:tcW w:type="dxa" w:w="2268"/>
            <w:shd w:val="clear" w:color="auto" w:fill="F5F7FA"/>
            <w:vAlign w:val="center"/>
          </w:tcPr>
          <w:p>
            <w:pPr>
              <w:jc w:val="center"/>
            </w:pPr>
            <w:r>
              <w:rPr>
                <w:rFonts w:ascii="Times New Roman" w:hAnsi="Times New Roman"/>
                <w:b w:val="0"/>
                <w:i w:val="0"/>
                <w:sz w:val="17"/>
              </w:rPr>
              <w:t>Total Revenue (USD)</w:t>
            </w:r>
          </w:p>
        </w:tc>
        <w:tc>
          <w:tcPr>
            <w:tcW w:type="dxa" w:w="1417"/>
            <w:shd w:val="clear" w:color="auto" w:fill="F5F7FA"/>
            <w:vAlign w:val="center"/>
          </w:tcPr>
          <w:p>
            <w:pPr>
              <w:jc w:val="center"/>
            </w:pPr>
            <w:r>
              <w:rPr>
                <w:rFonts w:ascii="Times New Roman" w:hAnsi="Times New Roman"/>
                <w:b w:val="0"/>
                <w:i w:val="0"/>
                <w:sz w:val="17"/>
              </w:rPr>
              <w:t>$40.7B</w:t>
            </w:r>
          </w:p>
        </w:tc>
        <w:tc>
          <w:tcPr>
            <w:tcW w:type="dxa" w:w="1417"/>
            <w:shd w:val="clear" w:color="auto" w:fill="F5F7FA"/>
            <w:vAlign w:val="center"/>
          </w:tcPr>
          <w:p>
            <w:pPr>
              <w:jc w:val="center"/>
            </w:pPr>
            <w:r>
              <w:rPr>
                <w:rFonts w:ascii="Times New Roman" w:hAnsi="Times New Roman"/>
                <w:b w:val="0"/>
                <w:i w:val="0"/>
                <w:sz w:val="17"/>
              </w:rPr>
              <w:t>~$41.5B</w:t>
            </w:r>
          </w:p>
        </w:tc>
        <w:tc>
          <w:tcPr>
            <w:tcW w:type="dxa" w:w="1417"/>
            <w:shd w:val="clear" w:color="auto" w:fill="F5F7FA"/>
            <w:vAlign w:val="center"/>
          </w:tcPr>
          <w:p>
            <w:pPr>
              <w:jc w:val="center"/>
            </w:pPr>
            <w:r>
              <w:rPr>
                <w:rFonts w:ascii="Times New Roman" w:hAnsi="Times New Roman"/>
                <w:b w:val="0"/>
                <w:i w:val="0"/>
                <w:sz w:val="17"/>
              </w:rPr>
              <w:t>MISS  –2.0%</w:t>
            </w:r>
          </w:p>
        </w:tc>
        <w:tc>
          <w:tcPr>
            <w:tcW w:type="dxa" w:w="1701"/>
            <w:shd w:val="clear" w:color="auto" w:fill="F5F7FA"/>
            <w:vAlign w:val="center"/>
          </w:tcPr>
          <w:p>
            <w:pPr>
              <w:jc w:val="center"/>
            </w:pPr>
            <w:r>
              <w:rPr>
                <w:rFonts w:ascii="Times New Roman" w:hAnsi="Times New Roman"/>
                <w:b w:val="0"/>
                <w:i w:val="0"/>
                <w:sz w:val="17"/>
              </w:rPr>
              <w:t>+2% YoY</w:t>
            </w:r>
          </w:p>
        </w:tc>
      </w:tr>
      <w:tr>
        <w:tc>
          <w:tcPr>
            <w:tcW w:type="dxa" w:w="2268"/>
            <w:vAlign w:val="center"/>
          </w:tcPr>
          <w:p>
            <w:pPr>
              <w:jc w:val="center"/>
            </w:pPr>
            <w:r>
              <w:rPr>
                <w:rFonts w:ascii="Times New Roman" w:hAnsi="Times New Roman"/>
                <w:b w:val="0"/>
                <w:i w:val="0"/>
                <w:sz w:val="17"/>
              </w:rPr>
              <w:t>Adj. EBITA (RMB B)</w:t>
            </w:r>
          </w:p>
        </w:tc>
        <w:tc>
          <w:tcPr>
            <w:tcW w:type="dxa" w:w="1417"/>
            <w:vAlign w:val="center"/>
          </w:tcPr>
          <w:p>
            <w:pPr>
              <w:jc w:val="center"/>
            </w:pPr>
            <w:r>
              <w:rPr>
                <w:rFonts w:ascii="Times New Roman" w:hAnsi="Times New Roman"/>
                <w:b w:val="0"/>
                <w:i w:val="0"/>
                <w:sz w:val="17"/>
              </w:rPr>
              <w:t>¥23.4B</w:t>
            </w:r>
          </w:p>
        </w:tc>
        <w:tc>
          <w:tcPr>
            <w:tcW w:type="dxa" w:w="1417"/>
            <w:vAlign w:val="center"/>
          </w:tcPr>
          <w:p>
            <w:pPr>
              <w:jc w:val="center"/>
            </w:pPr>
            <w:r>
              <w:rPr>
                <w:rFonts w:ascii="Times New Roman" w:hAnsi="Times New Roman"/>
                <w:b w:val="0"/>
                <w:i w:val="0"/>
                <w:sz w:val="17"/>
              </w:rPr>
              <w:t>~¥30.0B</w:t>
            </w:r>
          </w:p>
        </w:tc>
        <w:tc>
          <w:tcPr>
            <w:tcW w:type="dxa" w:w="1417"/>
            <w:vAlign w:val="center"/>
          </w:tcPr>
          <w:p>
            <w:pPr>
              <w:jc w:val="center"/>
            </w:pPr>
            <w:r>
              <w:rPr>
                <w:rFonts w:ascii="Times New Roman" w:hAnsi="Times New Roman"/>
                <w:b w:val="0"/>
                <w:i w:val="0"/>
                <w:sz w:val="17"/>
              </w:rPr>
              <w:t>MISS  –22%</w:t>
            </w:r>
          </w:p>
        </w:tc>
        <w:tc>
          <w:tcPr>
            <w:tcW w:type="dxa" w:w="1701"/>
            <w:vAlign w:val="center"/>
          </w:tcPr>
          <w:p>
            <w:pPr>
              <w:jc w:val="center"/>
            </w:pPr>
            <w:r>
              <w:rPr>
                <w:rFonts w:ascii="Times New Roman" w:hAnsi="Times New Roman"/>
                <w:b w:val="0"/>
                <w:i w:val="0"/>
                <w:sz w:val="17"/>
              </w:rPr>
              <w:t>–57% YoY</w:t>
            </w:r>
          </w:p>
        </w:tc>
      </w:tr>
      <w:tr>
        <w:tc>
          <w:tcPr>
            <w:tcW w:type="dxa" w:w="2268"/>
            <w:shd w:val="clear" w:color="auto" w:fill="F5F7FA"/>
            <w:vAlign w:val="center"/>
          </w:tcPr>
          <w:p>
            <w:pPr>
              <w:jc w:val="center"/>
            </w:pPr>
            <w:r>
              <w:rPr>
                <w:rFonts w:ascii="Times New Roman" w:hAnsi="Times New Roman"/>
                <w:b w:val="0"/>
                <w:i w:val="0"/>
                <w:sz w:val="17"/>
              </w:rPr>
              <w:t>Non-GAAP EPS/ADS (RMB)</w:t>
            </w:r>
          </w:p>
        </w:tc>
        <w:tc>
          <w:tcPr>
            <w:tcW w:type="dxa" w:w="1417"/>
            <w:shd w:val="clear" w:color="auto" w:fill="F5F7FA"/>
            <w:vAlign w:val="center"/>
          </w:tcPr>
          <w:p>
            <w:pPr>
              <w:jc w:val="center"/>
            </w:pPr>
            <w:r>
              <w:rPr>
                <w:rFonts w:ascii="Times New Roman" w:hAnsi="Times New Roman"/>
                <w:b w:val="0"/>
                <w:i w:val="0"/>
                <w:sz w:val="17"/>
              </w:rPr>
              <w:t>¥7.09</w:t>
            </w:r>
          </w:p>
        </w:tc>
        <w:tc>
          <w:tcPr>
            <w:tcW w:type="dxa" w:w="1417"/>
            <w:shd w:val="clear" w:color="auto" w:fill="F5F7FA"/>
            <w:vAlign w:val="center"/>
          </w:tcPr>
          <w:p>
            <w:pPr>
              <w:jc w:val="center"/>
            </w:pPr>
            <w:r>
              <w:rPr>
                <w:rFonts w:ascii="Times New Roman" w:hAnsi="Times New Roman"/>
                <w:b w:val="0"/>
                <w:i w:val="0"/>
                <w:sz w:val="17"/>
              </w:rPr>
              <w:t>~¥9.00</w:t>
            </w:r>
          </w:p>
        </w:tc>
        <w:tc>
          <w:tcPr>
            <w:tcW w:type="dxa" w:w="1417"/>
            <w:shd w:val="clear" w:color="auto" w:fill="F5F7FA"/>
            <w:vAlign w:val="center"/>
          </w:tcPr>
          <w:p>
            <w:pPr>
              <w:jc w:val="center"/>
            </w:pPr>
            <w:r>
              <w:rPr>
                <w:rFonts w:ascii="Times New Roman" w:hAnsi="Times New Roman"/>
                <w:b w:val="0"/>
                <w:i w:val="0"/>
                <w:sz w:val="17"/>
              </w:rPr>
              <w:t>MISS  –21%</w:t>
            </w:r>
          </w:p>
        </w:tc>
        <w:tc>
          <w:tcPr>
            <w:tcW w:type="dxa" w:w="1701"/>
            <w:shd w:val="clear" w:color="auto" w:fill="F5F7FA"/>
            <w:vAlign w:val="center"/>
          </w:tcPr>
          <w:p>
            <w:pPr>
              <w:jc w:val="center"/>
            </w:pPr>
            <w:r>
              <w:rPr>
                <w:rFonts w:ascii="Times New Roman" w:hAnsi="Times New Roman"/>
                <w:b w:val="0"/>
                <w:i w:val="0"/>
                <w:sz w:val="17"/>
              </w:rPr>
              <w:t>Significant decline</w:t>
            </w:r>
          </w:p>
        </w:tc>
      </w:tr>
      <w:tr>
        <w:tc>
          <w:tcPr>
            <w:tcW w:type="dxa" w:w="2268"/>
            <w:vAlign w:val="center"/>
          </w:tcPr>
          <w:p>
            <w:pPr>
              <w:jc w:val="center"/>
            </w:pPr>
            <w:r>
              <w:rPr>
                <w:rFonts w:ascii="Times New Roman" w:hAnsi="Times New Roman"/>
                <w:b w:val="0"/>
                <w:i w:val="0"/>
                <w:sz w:val="17"/>
              </w:rPr>
              <w:t>Non-GAAP EPS/ADS (USD)</w:t>
            </w:r>
          </w:p>
        </w:tc>
        <w:tc>
          <w:tcPr>
            <w:tcW w:type="dxa" w:w="1417"/>
            <w:vAlign w:val="center"/>
          </w:tcPr>
          <w:p>
            <w:pPr>
              <w:jc w:val="center"/>
            </w:pPr>
            <w:r>
              <w:rPr>
                <w:rFonts w:ascii="Times New Roman" w:hAnsi="Times New Roman"/>
                <w:b w:val="0"/>
                <w:i w:val="0"/>
                <w:sz w:val="17"/>
              </w:rPr>
              <w:t>$1.01</w:t>
            </w:r>
          </w:p>
        </w:tc>
        <w:tc>
          <w:tcPr>
            <w:tcW w:type="dxa" w:w="1417"/>
            <w:vAlign w:val="center"/>
          </w:tcPr>
          <w:p>
            <w:pPr>
              <w:jc w:val="center"/>
            </w:pPr>
            <w:r>
              <w:rPr>
                <w:rFonts w:ascii="Times New Roman" w:hAnsi="Times New Roman"/>
                <w:b w:val="0"/>
                <w:i w:val="0"/>
                <w:sz w:val="17"/>
              </w:rPr>
              <w:t>~$1.29</w:t>
            </w:r>
          </w:p>
        </w:tc>
        <w:tc>
          <w:tcPr>
            <w:tcW w:type="dxa" w:w="1417"/>
            <w:vAlign w:val="center"/>
          </w:tcPr>
          <w:p>
            <w:pPr>
              <w:jc w:val="center"/>
            </w:pPr>
            <w:r>
              <w:rPr>
                <w:rFonts w:ascii="Times New Roman" w:hAnsi="Times New Roman"/>
                <w:b w:val="0"/>
                <w:i w:val="0"/>
                <w:sz w:val="17"/>
              </w:rPr>
              <w:t>MISS  –22%</w:t>
            </w:r>
          </w:p>
        </w:tc>
        <w:tc>
          <w:tcPr>
            <w:tcW w:type="dxa" w:w="1701"/>
            <w:vAlign w:val="center"/>
          </w:tcPr>
          <w:p>
            <w:pPr>
              <w:jc w:val="center"/>
            </w:pPr>
            <w:r>
              <w:rPr>
                <w:rFonts w:ascii="Times New Roman" w:hAnsi="Times New Roman"/>
                <w:b w:val="0"/>
                <w:i w:val="0"/>
                <w:sz w:val="17"/>
              </w:rPr>
              <w:t>Significant decline</w:t>
            </w:r>
          </w:p>
        </w:tc>
      </w:tr>
      <w:tr>
        <w:tc>
          <w:tcPr>
            <w:tcW w:type="dxa" w:w="2268"/>
            <w:shd w:val="clear" w:color="auto" w:fill="F5F7FA"/>
            <w:vAlign w:val="center"/>
          </w:tcPr>
          <w:p>
            <w:pPr>
              <w:jc w:val="center"/>
            </w:pPr>
            <w:r>
              <w:rPr>
                <w:rFonts w:ascii="Times New Roman" w:hAnsi="Times New Roman"/>
                <w:b w:val="0"/>
                <w:i w:val="0"/>
                <w:sz w:val="17"/>
              </w:rPr>
              <w:t>Cloud Revenue (RMB B)</w:t>
            </w:r>
          </w:p>
        </w:tc>
        <w:tc>
          <w:tcPr>
            <w:tcW w:type="dxa" w:w="1417"/>
            <w:shd w:val="clear" w:color="auto" w:fill="F5F7FA"/>
            <w:vAlign w:val="center"/>
          </w:tcPr>
          <w:p>
            <w:pPr>
              <w:jc w:val="center"/>
            </w:pPr>
            <w:r>
              <w:rPr>
                <w:rFonts w:ascii="Times New Roman" w:hAnsi="Times New Roman"/>
                <w:b w:val="0"/>
                <w:i w:val="0"/>
                <w:sz w:val="17"/>
              </w:rPr>
              <w:t>¥43.3B</w:t>
            </w:r>
          </w:p>
        </w:tc>
        <w:tc>
          <w:tcPr>
            <w:tcW w:type="dxa" w:w="1417"/>
            <w:shd w:val="clear" w:color="auto" w:fill="F5F7FA"/>
            <w:vAlign w:val="center"/>
          </w:tcPr>
          <w:p>
            <w:pPr>
              <w:jc w:val="center"/>
            </w:pPr>
            <w:r>
              <w:rPr>
                <w:rFonts w:ascii="Times New Roman" w:hAnsi="Times New Roman"/>
                <w:b w:val="0"/>
                <w:i w:val="0"/>
                <w:sz w:val="17"/>
              </w:rPr>
              <w:t>~¥40.0B</w:t>
            </w:r>
          </w:p>
        </w:tc>
        <w:tc>
          <w:tcPr>
            <w:tcW w:type="dxa" w:w="1417"/>
            <w:shd w:val="clear" w:color="auto" w:fill="F5F7FA"/>
            <w:vAlign w:val="center"/>
          </w:tcPr>
          <w:p>
            <w:pPr>
              <w:jc w:val="center"/>
            </w:pPr>
            <w:r>
              <w:rPr>
                <w:rFonts w:ascii="Times New Roman" w:hAnsi="Times New Roman"/>
                <w:b w:val="0"/>
                <w:i w:val="0"/>
                <w:sz w:val="17"/>
              </w:rPr>
              <w:t>BEAT  +8.3%</w:t>
            </w:r>
          </w:p>
        </w:tc>
        <w:tc>
          <w:tcPr>
            <w:tcW w:type="dxa" w:w="1701"/>
            <w:shd w:val="clear" w:color="auto" w:fill="F5F7FA"/>
            <w:vAlign w:val="center"/>
          </w:tcPr>
          <w:p>
            <w:pPr>
              <w:jc w:val="center"/>
            </w:pPr>
            <w:r>
              <w:rPr>
                <w:rFonts w:ascii="Times New Roman" w:hAnsi="Times New Roman"/>
                <w:b w:val="0"/>
                <w:i w:val="0"/>
                <w:sz w:val="17"/>
              </w:rPr>
              <w:t>+36% YoY</w:t>
            </w:r>
          </w:p>
        </w:tc>
      </w:tr>
      <w:tr>
        <w:tc>
          <w:tcPr>
            <w:tcW w:type="dxa" w:w="2268"/>
            <w:vAlign w:val="center"/>
          </w:tcPr>
          <w:p>
            <w:pPr>
              <w:jc w:val="center"/>
            </w:pPr>
            <w:r>
              <w:rPr>
                <w:rFonts w:ascii="Times New Roman" w:hAnsi="Times New Roman"/>
                <w:b w:val="0"/>
                <w:i w:val="0"/>
                <w:sz w:val="17"/>
              </w:rPr>
              <w:t>Free Cash Flow (RMB B)</w:t>
            </w:r>
          </w:p>
        </w:tc>
        <w:tc>
          <w:tcPr>
            <w:tcW w:type="dxa" w:w="1417"/>
            <w:vAlign w:val="center"/>
          </w:tcPr>
          <w:p>
            <w:pPr>
              <w:jc w:val="center"/>
            </w:pPr>
            <w:r>
              <w:rPr>
                <w:rFonts w:ascii="Times New Roman" w:hAnsi="Times New Roman"/>
                <w:b w:val="0"/>
                <w:i w:val="0"/>
                <w:sz w:val="17"/>
              </w:rPr>
              <w:t>¥11.3B</w:t>
            </w:r>
          </w:p>
        </w:tc>
        <w:tc>
          <w:tcPr>
            <w:tcW w:type="dxa" w:w="1417"/>
            <w:vAlign w:val="center"/>
          </w:tcPr>
          <w:p>
            <w:pPr>
              <w:jc w:val="center"/>
            </w:pPr>
            <w:r>
              <w:rPr>
                <w:rFonts w:ascii="Times New Roman" w:hAnsi="Times New Roman"/>
                <w:b w:val="0"/>
                <w:i w:val="0"/>
                <w:sz w:val="17"/>
              </w:rPr>
              <w:t>~¥20.0B</w:t>
            </w:r>
          </w:p>
        </w:tc>
        <w:tc>
          <w:tcPr>
            <w:tcW w:type="dxa" w:w="1417"/>
            <w:vAlign w:val="center"/>
          </w:tcPr>
          <w:p>
            <w:pPr>
              <w:jc w:val="center"/>
            </w:pPr>
            <w:r>
              <w:rPr>
                <w:rFonts w:ascii="Times New Roman" w:hAnsi="Times New Roman"/>
                <w:b w:val="0"/>
                <w:i w:val="0"/>
                <w:sz w:val="17"/>
              </w:rPr>
              <w:t>MISS  –44%</w:t>
            </w:r>
          </w:p>
        </w:tc>
        <w:tc>
          <w:tcPr>
            <w:tcW w:type="dxa" w:w="1701"/>
            <w:vAlign w:val="center"/>
          </w:tcPr>
          <w:p>
            <w:pPr>
              <w:jc w:val="center"/>
            </w:pPr>
            <w:r>
              <w:rPr>
                <w:rFonts w:ascii="Times New Roman" w:hAnsi="Times New Roman"/>
                <w:b w:val="0"/>
                <w:i w:val="0"/>
                <w:sz w:val="17"/>
              </w:rPr>
              <w:t>–71% YoY</w:t>
            </w:r>
          </w:p>
        </w:tc>
      </w:tr>
      <w:tr>
        <w:tc>
          <w:tcPr>
            <w:tcW w:type="dxa" w:w="2268"/>
            <w:shd w:val="clear" w:color="auto" w:fill="F5F7FA"/>
            <w:vAlign w:val="center"/>
          </w:tcPr>
          <w:p>
            <w:pPr>
              <w:jc w:val="center"/>
            </w:pPr>
            <w:r>
              <w:rPr>
                <w:rFonts w:ascii="Times New Roman" w:hAnsi="Times New Roman"/>
                <w:b w:val="0"/>
                <w:i w:val="0"/>
                <w:sz w:val="17"/>
              </w:rPr>
              <w:t>Gross Margin</w:t>
            </w:r>
          </w:p>
        </w:tc>
        <w:tc>
          <w:tcPr>
            <w:tcW w:type="dxa" w:w="1417"/>
            <w:shd w:val="clear" w:color="auto" w:fill="F5F7FA"/>
            <w:vAlign w:val="center"/>
          </w:tcPr>
          <w:p>
            <w:pPr>
              <w:jc w:val="center"/>
            </w:pPr>
            <w:r>
              <w:rPr>
                <w:rFonts w:ascii="Times New Roman" w:hAnsi="Times New Roman"/>
                <w:b w:val="0"/>
                <w:i w:val="0"/>
                <w:sz w:val="17"/>
              </w:rPr>
              <w:t>~39.7%</w:t>
            </w:r>
          </w:p>
        </w:tc>
        <w:tc>
          <w:tcPr>
            <w:tcW w:type="dxa" w:w="1417"/>
            <w:shd w:val="clear" w:color="auto" w:fill="F5F7FA"/>
            <w:vAlign w:val="center"/>
          </w:tcPr>
          <w:p>
            <w:pPr>
              <w:jc w:val="center"/>
            </w:pPr>
            <w:r>
              <w:rPr>
                <w:rFonts w:ascii="Times New Roman" w:hAnsi="Times New Roman"/>
                <w:b w:val="0"/>
                <w:i w:val="0"/>
                <w:sz w:val="17"/>
              </w:rPr>
              <w:t>~40.5%</w:t>
            </w:r>
          </w:p>
        </w:tc>
        <w:tc>
          <w:tcPr>
            <w:tcW w:type="dxa" w:w="1417"/>
            <w:shd w:val="clear" w:color="auto" w:fill="F5F7FA"/>
            <w:vAlign w:val="center"/>
          </w:tcPr>
          <w:p>
            <w:pPr>
              <w:jc w:val="center"/>
            </w:pPr>
            <w:r>
              <w:rPr>
                <w:rFonts w:ascii="Times New Roman" w:hAnsi="Times New Roman"/>
                <w:b w:val="0"/>
                <w:i w:val="0"/>
                <w:sz w:val="17"/>
              </w:rPr>
              <w:t>MISS  –80bps</w:t>
            </w:r>
          </w:p>
        </w:tc>
        <w:tc>
          <w:tcPr>
            <w:tcW w:type="dxa" w:w="1701"/>
            <w:shd w:val="clear" w:color="auto" w:fill="F5F7FA"/>
            <w:vAlign w:val="center"/>
          </w:tcPr>
          <w:p>
            <w:pPr>
              <w:jc w:val="center"/>
            </w:pPr>
            <w:r>
              <w:rPr>
                <w:rFonts w:ascii="Times New Roman" w:hAnsi="Times New Roman"/>
                <w:b w:val="0"/>
                <w:i w:val="0"/>
                <w:sz w:val="17"/>
              </w:rPr>
              <w:t>~–70bps YoY</w:t>
            </w:r>
          </w:p>
        </w:tc>
      </w:tr>
    </w:tbl>
    <w:p>
      <w:r>
        <w:br w:type="page"/>
      </w:r>
    </w:p>
    <w:p>
      <w:pPr>
        <w:spacing w:before="200" w:after="80"/>
      </w:pPr>
      <w:r>
        <w:rPr>
          <w:rFonts w:ascii="Times New Roman" w:hAnsi="Times New Roman"/>
          <w:b/>
          <w:i w:val="0"/>
          <w:color w:val="1F2D5C"/>
          <w:sz w:val="26"/>
        </w:rPr>
        <w:t>DETAILED RESULTS ANALYSIS</w:t>
      </w:r>
    </w:p>
    <w:p>
      <w:pPr>
        <w:spacing w:before="200" w:after="80"/>
      </w:pPr>
      <w:r>
        <w:rPr>
          <w:rFonts w:ascii="Times New Roman" w:hAnsi="Times New Roman"/>
          <w:b/>
          <w:i w:val="0"/>
          <w:color w:val="FF6A00"/>
          <w:sz w:val="22"/>
        </w:rPr>
        <w:t>Revenue — Topline Softer on Divested Businesses</w:t>
      </w:r>
    </w:p>
    <w:p>
      <w:pPr>
        <w:spacing w:before="0" w:after="80"/>
      </w:pPr>
      <w:r>
        <w:rPr>
          <w:rFonts w:ascii="Times New Roman" w:hAnsi="Times New Roman"/>
          <w:b w:val="0"/>
          <w:i w:val="0"/>
          <w:sz w:val="19"/>
        </w:rPr>
        <w:t>Alibaba reported Q3 FY2026 (October–December 2025) total revenue of RMB 284.8B ($40.7B), a +2% YoY increase on a reported basis. Excluding the impact of divested businesses — including the Sun Art hypermarket chain and Intime department store — organic (like-for-like) revenue growth was approximately +9% YoY, meaningfully above the headline figure. The ~2% reported revenue miss versus consensus (~RMB 290.7B) was principally attributable to slower growth in the International Digital Commerce segment and ongoing structural drag from the divested retail assets.</w:t>
      </w:r>
    </w:p>
    <w:p>
      <w:pPr>
        <w:spacing w:before="0" w:after="80"/>
      </w:pPr>
      <w:r>
        <w:rPr>
          <w:rFonts w:ascii="Times New Roman" w:hAnsi="Times New Roman"/>
          <w:b w:val="0"/>
          <w:i w:val="0"/>
          <w:sz w:val="19"/>
        </w:rPr>
        <w:t>Revenue grew across all retained segments on an organic basis, with Cloud Intelligence being the clear standout. Quick commerce (Taobao Instant Commerce) posted the strongest domestic growth at +56% YoY, though scale remains limited (~¥20.8B) relative to core commerce. China Wholesale (1688.com) grew +5% YoY to ¥6.9B, driven by small and mid-sized enterprise demand.</w:t>
      </w:r>
    </w:p>
    <w:p>
      <w:pPr>
        <w:jc w:val="center"/>
      </w:pPr>
      <w:r>
        <w:drawing>
          <wp:inline xmlns:a="http://schemas.openxmlformats.org/drawingml/2006/main" xmlns:pic="http://schemas.openxmlformats.org/drawingml/2006/picture">
            <wp:extent cx="5303520" cy="2946400"/>
            <wp:docPr id="1" name="Picture 1"/>
            <wp:cNvGraphicFramePr>
              <a:graphicFrameLocks noChangeAspect="1"/>
            </wp:cNvGraphicFramePr>
            <a:graphic>
              <a:graphicData uri="http://schemas.openxmlformats.org/drawingml/2006/picture">
                <pic:pic>
                  <pic:nvPicPr>
                    <pic:cNvPr id="0" name="baba_chart1_quarterly_revenue.png"/>
                    <pic:cNvPicPr/>
                  </pic:nvPicPr>
                  <pic:blipFill>
                    <a:blip r:embed="rId9"/>
                    <a:stretch>
                      <a:fillRect/>
                    </a:stretch>
                  </pic:blipFill>
                  <pic:spPr>
                    <a:xfrm>
                      <a:off x="0" y="0"/>
                      <a:ext cx="5303520" cy="2946400"/>
                    </a:xfrm>
                    <a:prstGeom prst="rect"/>
                  </pic:spPr>
                </pic:pic>
              </a:graphicData>
            </a:graphic>
          </wp:inline>
        </w:drawing>
      </w:r>
    </w:p>
    <w:p>
      <w:pPr>
        <w:spacing w:before="0" w:after="80"/>
      </w:pPr>
      <w:r>
        <w:rPr>
          <w:rFonts w:ascii="Times New Roman" w:hAnsi="Times New Roman"/>
          <w:b w:val="0"/>
          <w:i/>
          <w:sz w:val="16"/>
        </w:rPr>
        <w:t>Chart 1: Alibaba Group — Quarterly Revenue (RMB Billions), Q4 FY24–Q3 FY26</w:t>
      </w:r>
    </w:p>
    <w:p/>
    <w:p>
      <w:pPr>
        <w:spacing w:before="200" w:after="80"/>
      </w:pPr>
      <w:r>
        <w:rPr>
          <w:rFonts w:ascii="Times New Roman" w:hAnsi="Times New Roman"/>
          <w:b/>
          <w:i w:val="0"/>
          <w:color w:val="FF6A00"/>
          <w:sz w:val="22"/>
        </w:rPr>
        <w:t>Segment Revenue Breakdown — Q3 FY2026</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154"/>
            <w:shd w:val="clear" w:color="auto" w:fill="1F2D5C"/>
            <w:vAlign w:val="center"/>
          </w:tcPr>
          <w:p>
            <w:pPr>
              <w:jc w:val="center"/>
            </w:pPr>
            <w:r>
              <w:rPr>
                <w:rFonts w:ascii="Times New Roman" w:hAnsi="Times New Roman"/>
                <w:b/>
                <w:i w:val="0"/>
                <w:color w:val="FFFFFF"/>
                <w:sz w:val="17"/>
              </w:rPr>
              <w:t>Business Segment</w:t>
            </w:r>
          </w:p>
        </w:tc>
        <w:tc>
          <w:tcPr>
            <w:tcW w:type="dxa" w:w="1587"/>
            <w:shd w:val="clear" w:color="auto" w:fill="1F2D5C"/>
            <w:vAlign w:val="center"/>
          </w:tcPr>
          <w:p>
            <w:pPr>
              <w:jc w:val="center"/>
            </w:pPr>
            <w:r>
              <w:rPr>
                <w:rFonts w:ascii="Times New Roman" w:hAnsi="Times New Roman"/>
                <w:b/>
                <w:i w:val="0"/>
                <w:color w:val="FFFFFF"/>
                <w:sz w:val="17"/>
              </w:rPr>
              <w:t>Q3 FY26 Revenue</w:t>
            </w:r>
          </w:p>
        </w:tc>
        <w:tc>
          <w:tcPr>
            <w:tcW w:type="dxa" w:w="1417"/>
            <w:shd w:val="clear" w:color="auto" w:fill="1F2D5C"/>
            <w:vAlign w:val="center"/>
          </w:tcPr>
          <w:p>
            <w:pPr>
              <w:jc w:val="center"/>
            </w:pPr>
            <w:r>
              <w:rPr>
                <w:rFonts w:ascii="Times New Roman" w:hAnsi="Times New Roman"/>
                <w:b/>
                <w:i w:val="0"/>
                <w:color w:val="FFFFFF"/>
                <w:sz w:val="17"/>
              </w:rPr>
              <w:t>YoY Growth</w:t>
            </w:r>
          </w:p>
        </w:tc>
        <w:tc>
          <w:tcPr>
            <w:tcW w:type="dxa" w:w="3061"/>
            <w:shd w:val="clear" w:color="auto" w:fill="1F2D5C"/>
            <w:vAlign w:val="center"/>
          </w:tcPr>
          <w:p>
            <w:pPr>
              <w:jc w:val="center"/>
            </w:pPr>
            <w:r>
              <w:rPr>
                <w:rFonts w:ascii="Times New Roman" w:hAnsi="Times New Roman"/>
                <w:b/>
                <w:i w:val="0"/>
                <w:color w:val="FFFFFF"/>
                <w:sz w:val="17"/>
              </w:rPr>
              <w:t>Key Commentary</w:t>
            </w:r>
          </w:p>
        </w:tc>
      </w:tr>
      <w:tr>
        <w:tc>
          <w:tcPr>
            <w:tcW w:type="dxa" w:w="2154"/>
            <w:vAlign w:val="center"/>
          </w:tcPr>
          <w:p>
            <w:pPr>
              <w:jc w:val="center"/>
            </w:pPr>
            <w:r>
              <w:rPr>
                <w:rFonts w:ascii="Times New Roman" w:hAnsi="Times New Roman"/>
                <w:b w:val="0"/>
                <w:i w:val="0"/>
                <w:sz w:val="17"/>
              </w:rPr>
              <w:t>Cloud Intelligence Group</w:t>
            </w:r>
          </w:p>
        </w:tc>
        <w:tc>
          <w:tcPr>
            <w:tcW w:type="dxa" w:w="1587"/>
            <w:vAlign w:val="center"/>
          </w:tcPr>
          <w:p>
            <w:pPr>
              <w:jc w:val="center"/>
            </w:pPr>
            <w:r>
              <w:rPr>
                <w:rFonts w:ascii="Times New Roman" w:hAnsi="Times New Roman"/>
                <w:b w:val="0"/>
                <w:i w:val="0"/>
                <w:sz w:val="17"/>
              </w:rPr>
              <w:t>¥43.3B ($6.2B)</w:t>
            </w:r>
          </w:p>
        </w:tc>
        <w:tc>
          <w:tcPr>
            <w:tcW w:type="dxa" w:w="1417"/>
            <w:vAlign w:val="center"/>
          </w:tcPr>
          <w:p>
            <w:pPr>
              <w:jc w:val="center"/>
            </w:pPr>
            <w:r>
              <w:rPr>
                <w:rFonts w:ascii="Times New Roman" w:hAnsi="Times New Roman"/>
                <w:b w:val="0"/>
                <w:i w:val="0"/>
                <w:sz w:val="17"/>
              </w:rPr>
              <w:t>+36% YoY</w:t>
            </w:r>
          </w:p>
        </w:tc>
        <w:tc>
          <w:tcPr>
            <w:tcW w:type="dxa" w:w="3061"/>
            <w:vAlign w:val="center"/>
          </w:tcPr>
          <w:p>
            <w:pPr>
              <w:jc w:val="center"/>
            </w:pPr>
            <w:r>
              <w:rPr>
                <w:rFonts w:ascii="Times New Roman" w:hAnsi="Times New Roman"/>
                <w:b w:val="0"/>
                <w:i w:val="0"/>
                <w:sz w:val="17"/>
              </w:rPr>
              <w:t>AI product revenue: triple-digit growth for 10 consec. quarters; Cloud market share 36% in China</w:t>
            </w:r>
          </w:p>
        </w:tc>
      </w:tr>
      <w:tr>
        <w:tc>
          <w:tcPr>
            <w:tcW w:type="dxa" w:w="2154"/>
            <w:shd w:val="clear" w:color="auto" w:fill="F5F7FA"/>
            <w:vAlign w:val="center"/>
          </w:tcPr>
          <w:p>
            <w:pPr>
              <w:jc w:val="center"/>
            </w:pPr>
            <w:r>
              <w:rPr>
                <w:rFonts w:ascii="Times New Roman" w:hAnsi="Times New Roman"/>
                <w:b w:val="0"/>
                <w:i w:val="0"/>
                <w:sz w:val="17"/>
              </w:rPr>
              <w:t>Intl. Digital Commerce (AIDC)</w:t>
            </w:r>
          </w:p>
        </w:tc>
        <w:tc>
          <w:tcPr>
            <w:tcW w:type="dxa" w:w="1587"/>
            <w:shd w:val="clear" w:color="auto" w:fill="F5F7FA"/>
            <w:vAlign w:val="center"/>
          </w:tcPr>
          <w:p>
            <w:pPr>
              <w:jc w:val="center"/>
            </w:pPr>
            <w:r>
              <w:rPr>
                <w:rFonts w:ascii="Times New Roman" w:hAnsi="Times New Roman"/>
                <w:b w:val="0"/>
                <w:i w:val="0"/>
                <w:sz w:val="17"/>
              </w:rPr>
              <w:t>¥32.4B ($4.6B)</w:t>
            </w:r>
          </w:p>
        </w:tc>
        <w:tc>
          <w:tcPr>
            <w:tcW w:type="dxa" w:w="1417"/>
            <w:shd w:val="clear" w:color="auto" w:fill="F5F7FA"/>
            <w:vAlign w:val="center"/>
          </w:tcPr>
          <w:p>
            <w:pPr>
              <w:jc w:val="center"/>
            </w:pPr>
            <w:r>
              <w:rPr>
                <w:rFonts w:ascii="Times New Roman" w:hAnsi="Times New Roman"/>
                <w:b w:val="0"/>
                <w:i w:val="0"/>
                <w:sz w:val="17"/>
              </w:rPr>
              <w:t>+3% YoY</w:t>
            </w:r>
          </w:p>
        </w:tc>
        <w:tc>
          <w:tcPr>
            <w:tcW w:type="dxa" w:w="3061"/>
            <w:shd w:val="clear" w:color="auto" w:fill="F5F7FA"/>
            <w:vAlign w:val="center"/>
          </w:tcPr>
          <w:p>
            <w:pPr>
              <w:jc w:val="center"/>
            </w:pPr>
            <w:r>
              <w:rPr>
                <w:rFonts w:ascii="Times New Roman" w:hAnsi="Times New Roman"/>
                <w:b w:val="0"/>
                <w:i w:val="0"/>
                <w:sz w:val="17"/>
              </w:rPr>
              <w:t>Deceleration from +32% year-ago; Lazada drag partially offset by AliExpress; loss narrowing</w:t>
            </w:r>
          </w:p>
        </w:tc>
      </w:tr>
      <w:tr>
        <w:tc>
          <w:tcPr>
            <w:tcW w:type="dxa" w:w="2154"/>
            <w:vAlign w:val="center"/>
          </w:tcPr>
          <w:p>
            <w:pPr>
              <w:jc w:val="center"/>
            </w:pPr>
            <w:r>
              <w:rPr>
                <w:rFonts w:ascii="Times New Roman" w:hAnsi="Times New Roman"/>
                <w:b w:val="0"/>
                <w:i w:val="0"/>
                <w:sz w:val="17"/>
              </w:rPr>
              <w:t>Taobao Instant Commerce</w:t>
            </w:r>
          </w:p>
        </w:tc>
        <w:tc>
          <w:tcPr>
            <w:tcW w:type="dxa" w:w="1587"/>
            <w:vAlign w:val="center"/>
          </w:tcPr>
          <w:p>
            <w:pPr>
              <w:jc w:val="center"/>
            </w:pPr>
            <w:r>
              <w:rPr>
                <w:rFonts w:ascii="Times New Roman" w:hAnsi="Times New Roman"/>
                <w:b w:val="0"/>
                <w:i w:val="0"/>
                <w:sz w:val="17"/>
              </w:rPr>
              <w:t>¥20.8B ($3.0B)</w:t>
            </w:r>
          </w:p>
        </w:tc>
        <w:tc>
          <w:tcPr>
            <w:tcW w:type="dxa" w:w="1417"/>
            <w:vAlign w:val="center"/>
          </w:tcPr>
          <w:p>
            <w:pPr>
              <w:jc w:val="center"/>
            </w:pPr>
            <w:r>
              <w:rPr>
                <w:rFonts w:ascii="Times New Roman" w:hAnsi="Times New Roman"/>
                <w:b w:val="0"/>
                <w:i w:val="0"/>
                <w:sz w:val="17"/>
              </w:rPr>
              <w:t>+56% YoY</w:t>
            </w:r>
          </w:p>
        </w:tc>
        <w:tc>
          <w:tcPr>
            <w:tcW w:type="dxa" w:w="3061"/>
            <w:vAlign w:val="center"/>
          </w:tcPr>
          <w:p>
            <w:pPr>
              <w:jc w:val="center"/>
            </w:pPr>
            <w:r>
              <w:rPr>
                <w:rFonts w:ascii="Times New Roman" w:hAnsi="Times New Roman"/>
                <w:b w:val="0"/>
                <w:i w:val="0"/>
                <w:sz w:val="17"/>
              </w:rPr>
              <w:t>Fastest-growing domestic segment; heavy logistics investment weigh on margins</w:t>
            </w:r>
          </w:p>
        </w:tc>
      </w:tr>
      <w:tr>
        <w:tc>
          <w:tcPr>
            <w:tcW w:type="dxa" w:w="2154"/>
            <w:shd w:val="clear" w:color="auto" w:fill="F5F7FA"/>
            <w:vAlign w:val="center"/>
          </w:tcPr>
          <w:p>
            <w:pPr>
              <w:jc w:val="center"/>
            </w:pPr>
            <w:r>
              <w:rPr>
                <w:rFonts w:ascii="Times New Roman" w:hAnsi="Times New Roman"/>
                <w:b w:val="0"/>
                <w:i w:val="0"/>
                <w:sz w:val="17"/>
              </w:rPr>
              <w:t>China Wholesale (1688.com)</w:t>
            </w:r>
          </w:p>
        </w:tc>
        <w:tc>
          <w:tcPr>
            <w:tcW w:type="dxa" w:w="1587"/>
            <w:shd w:val="clear" w:color="auto" w:fill="F5F7FA"/>
            <w:vAlign w:val="center"/>
          </w:tcPr>
          <w:p>
            <w:pPr>
              <w:jc w:val="center"/>
            </w:pPr>
            <w:r>
              <w:rPr>
                <w:rFonts w:ascii="Times New Roman" w:hAnsi="Times New Roman"/>
                <w:b w:val="0"/>
                <w:i w:val="0"/>
                <w:sz w:val="17"/>
              </w:rPr>
              <w:t>¥6.9B ($1.0B)</w:t>
            </w:r>
          </w:p>
        </w:tc>
        <w:tc>
          <w:tcPr>
            <w:tcW w:type="dxa" w:w="1417"/>
            <w:shd w:val="clear" w:color="auto" w:fill="F5F7FA"/>
            <w:vAlign w:val="center"/>
          </w:tcPr>
          <w:p>
            <w:pPr>
              <w:jc w:val="center"/>
            </w:pPr>
            <w:r>
              <w:rPr>
                <w:rFonts w:ascii="Times New Roman" w:hAnsi="Times New Roman"/>
                <w:b w:val="0"/>
                <w:i w:val="0"/>
                <w:sz w:val="17"/>
              </w:rPr>
              <w:t>+5% YoY</w:t>
            </w:r>
          </w:p>
        </w:tc>
        <w:tc>
          <w:tcPr>
            <w:tcW w:type="dxa" w:w="3061"/>
            <w:shd w:val="clear" w:color="auto" w:fill="F5F7FA"/>
            <w:vAlign w:val="center"/>
          </w:tcPr>
          <w:p>
            <w:pPr>
              <w:jc w:val="center"/>
            </w:pPr>
            <w:r>
              <w:rPr>
                <w:rFonts w:ascii="Times New Roman" w:hAnsi="Times New Roman"/>
                <w:b w:val="0"/>
                <w:i w:val="0"/>
                <w:sz w:val="17"/>
              </w:rPr>
              <w:t>SME-driven B2B commerce; steady growth</w:t>
            </w:r>
          </w:p>
        </w:tc>
      </w:tr>
      <w:tr>
        <w:tc>
          <w:tcPr>
            <w:tcW w:type="dxa" w:w="2154"/>
            <w:vAlign w:val="center"/>
          </w:tcPr>
          <w:p>
            <w:pPr>
              <w:jc w:val="center"/>
            </w:pPr>
            <w:r>
              <w:rPr>
                <w:rFonts w:ascii="Times New Roman" w:hAnsi="Times New Roman"/>
                <w:b w:val="0"/>
                <w:i w:val="0"/>
                <w:sz w:val="17"/>
              </w:rPr>
              <w:t>Cainiao, Media &amp; Others</w:t>
            </w:r>
          </w:p>
        </w:tc>
        <w:tc>
          <w:tcPr>
            <w:tcW w:type="dxa" w:w="1587"/>
            <w:vAlign w:val="center"/>
          </w:tcPr>
          <w:p>
            <w:pPr>
              <w:jc w:val="center"/>
            </w:pPr>
            <w:r>
              <w:rPr>
                <w:rFonts w:ascii="Times New Roman" w:hAnsi="Times New Roman"/>
                <w:b w:val="0"/>
                <w:i w:val="0"/>
                <w:sz w:val="17"/>
              </w:rPr>
              <w:t>¥67.3B ($9.6B)</w:t>
            </w:r>
          </w:p>
        </w:tc>
        <w:tc>
          <w:tcPr>
            <w:tcW w:type="dxa" w:w="1417"/>
            <w:vAlign w:val="center"/>
          </w:tcPr>
          <w:p>
            <w:pPr>
              <w:jc w:val="center"/>
            </w:pPr>
            <w:r>
              <w:rPr>
                <w:rFonts w:ascii="Times New Roman" w:hAnsi="Times New Roman"/>
                <w:b w:val="0"/>
                <w:i w:val="0"/>
                <w:sz w:val="17"/>
              </w:rPr>
              <w:t>–25% YoY</w:t>
            </w:r>
          </w:p>
        </w:tc>
        <w:tc>
          <w:tcPr>
            <w:tcW w:type="dxa" w:w="3061"/>
            <w:vAlign w:val="center"/>
          </w:tcPr>
          <w:p>
            <w:pPr>
              <w:jc w:val="center"/>
            </w:pPr>
            <w:r>
              <w:rPr>
                <w:rFonts w:ascii="Times New Roman" w:hAnsi="Times New Roman"/>
                <w:b w:val="0"/>
                <w:i w:val="0"/>
                <w:sz w:val="17"/>
              </w:rPr>
              <w:t>Reported decline due to Sun Art/Intime divestitures; Cainiao growth offset</w:t>
            </w:r>
          </w:p>
        </w:tc>
      </w:tr>
      <w:tr>
        <w:tc>
          <w:tcPr>
            <w:tcW w:type="dxa" w:w="2154"/>
            <w:shd w:val="clear" w:color="auto" w:fill="F5F7FA"/>
            <w:vAlign w:val="center"/>
          </w:tcPr>
          <w:p>
            <w:pPr>
              <w:jc w:val="center"/>
            </w:pPr>
            <w:r>
              <w:rPr>
                <w:rFonts w:ascii="Times New Roman" w:hAnsi="Times New Roman"/>
                <w:b w:val="0"/>
                <w:i w:val="0"/>
                <w:sz w:val="17"/>
              </w:rPr>
              <w:t>Total</w:t>
            </w:r>
          </w:p>
        </w:tc>
        <w:tc>
          <w:tcPr>
            <w:tcW w:type="dxa" w:w="1587"/>
            <w:shd w:val="clear" w:color="auto" w:fill="F5F7FA"/>
            <w:vAlign w:val="center"/>
          </w:tcPr>
          <w:p>
            <w:pPr>
              <w:jc w:val="center"/>
            </w:pPr>
            <w:r>
              <w:rPr>
                <w:rFonts w:ascii="Times New Roman" w:hAnsi="Times New Roman"/>
                <w:b w:val="0"/>
                <w:i w:val="0"/>
                <w:sz w:val="17"/>
              </w:rPr>
              <w:t>¥284.8B ($40.7B)</w:t>
            </w:r>
          </w:p>
        </w:tc>
        <w:tc>
          <w:tcPr>
            <w:tcW w:type="dxa" w:w="1417"/>
            <w:shd w:val="clear" w:color="auto" w:fill="F5F7FA"/>
            <w:vAlign w:val="center"/>
          </w:tcPr>
          <w:p>
            <w:pPr>
              <w:jc w:val="center"/>
            </w:pPr>
            <w:r>
              <w:rPr>
                <w:rFonts w:ascii="Times New Roman" w:hAnsi="Times New Roman"/>
                <w:b w:val="0"/>
                <w:i w:val="0"/>
                <w:sz w:val="17"/>
              </w:rPr>
              <w:t>+2% (rpt'd)</w:t>
              <w:br/>
              <w:t>+9% LL</w:t>
            </w:r>
          </w:p>
        </w:tc>
        <w:tc>
          <w:tcPr>
            <w:tcW w:type="dxa" w:w="3061"/>
            <w:shd w:val="clear" w:color="auto" w:fill="F5F7FA"/>
            <w:vAlign w:val="center"/>
          </w:tcPr>
          <w:p>
            <w:pPr>
              <w:jc w:val="center"/>
            </w:pPr>
            <w:r>
              <w:rPr>
                <w:rFonts w:ascii="Times New Roman" w:hAnsi="Times New Roman"/>
                <w:b w:val="0"/>
                <w:i w:val="0"/>
                <w:sz w:val="17"/>
              </w:rPr>
              <w:t>Organic growth healthy; reported dragged by divestitures</w:t>
            </w:r>
          </w:p>
        </w:tc>
      </w:tr>
    </w:tbl>
    <w:p/>
    <w:p>
      <w:pPr>
        <w:jc w:val="center"/>
      </w:pPr>
      <w:r>
        <w:drawing>
          <wp:inline xmlns:a="http://schemas.openxmlformats.org/drawingml/2006/main" xmlns:pic="http://schemas.openxmlformats.org/drawingml/2006/picture">
            <wp:extent cx="5303520" cy="2946400"/>
            <wp:docPr id="2" name="Picture 2"/>
            <wp:cNvGraphicFramePr>
              <a:graphicFrameLocks noChangeAspect="1"/>
            </wp:cNvGraphicFramePr>
            <a:graphic>
              <a:graphicData uri="http://schemas.openxmlformats.org/drawingml/2006/picture">
                <pic:pic>
                  <pic:nvPicPr>
                    <pic:cNvPr id="0" name="baba_chart3_segment_revenue.png"/>
                    <pic:cNvPicPr/>
                  </pic:nvPicPr>
                  <pic:blipFill>
                    <a:blip r:embed="rId10"/>
                    <a:stretch>
                      <a:fillRect/>
                    </a:stretch>
                  </pic:blipFill>
                  <pic:spPr>
                    <a:xfrm>
                      <a:off x="0" y="0"/>
                      <a:ext cx="5303520" cy="2946400"/>
                    </a:xfrm>
                    <a:prstGeom prst="rect"/>
                  </pic:spPr>
                </pic:pic>
              </a:graphicData>
            </a:graphic>
          </wp:inline>
        </w:drawing>
      </w:r>
    </w:p>
    <w:p>
      <w:pPr>
        <w:spacing w:before="0" w:after="80"/>
      </w:pPr>
      <w:r>
        <w:rPr>
          <w:rFonts w:ascii="Times New Roman" w:hAnsi="Times New Roman"/>
          <w:b w:val="0"/>
          <w:i/>
          <w:sz w:val="16"/>
        </w:rPr>
        <w:t>Chart 2: Q3 FY2026 Revenue by Business Segment (RMB Billions)</w:t>
      </w:r>
    </w:p>
    <w:p>
      <w:r>
        <w:br w:type="page"/>
      </w:r>
    </w:p>
    <w:p>
      <w:pPr>
        <w:spacing w:before="200" w:after="80"/>
      </w:pPr>
      <w:r>
        <w:rPr>
          <w:rFonts w:ascii="Times New Roman" w:hAnsi="Times New Roman"/>
          <w:b/>
          <w:i w:val="0"/>
          <w:color w:val="0070C0"/>
          <w:sz w:val="22"/>
        </w:rPr>
        <w:t>Cloud Intelligence Group — The Crown Jewel (+36%)</w:t>
      </w:r>
    </w:p>
    <w:p>
      <w:pPr>
        <w:spacing w:before="0" w:after="80"/>
      </w:pPr>
      <w:r>
        <w:rPr>
          <w:rFonts w:ascii="Times New Roman" w:hAnsi="Times New Roman"/>
          <w:b w:val="0"/>
          <w:i w:val="0"/>
          <w:sz w:val="19"/>
        </w:rPr>
        <w:t>Cloud Intelligence Group delivered another quarter of accelerating growth, with revenue of RMB 43.3B ($6.2B), up +36% YoY — materially ahead of consensus estimates of ~¥40.0B (~+8% beat). This marks a remarkable re-acceleration from the near-stagnation of FY2024 (when cloud grew only +3–7%), and reflects the powerful tailwind from AI-driven infrastructure demand across Chinese enterprises.</w:t>
      </w:r>
    </w:p>
    <w:p>
      <w:pPr>
        <w:spacing w:before="0" w:after="80"/>
      </w:pPr>
      <w:r>
        <w:rPr>
          <w:rFonts w:ascii="Times New Roman" w:hAnsi="Times New Roman"/>
          <w:b w:val="0"/>
          <w:i w:val="0"/>
          <w:sz w:val="19"/>
        </w:rPr>
        <w:t>AI product revenue sustained triple-digit YoY growth for the 10th consecutive quarter. Alibaba's Qwen model family has emerged as a leading frontier model in China, with the Qwen consumer app surpassing 300M monthly active users. Cloud market share in China climbed to ~36%, up for three consecutive quarters. External revenue across FY2026 (through February 2026) surpassed CNY 100 billion — a landmark milestone that validates Alibaba Cloud's enterprise traction.</w:t>
      </w:r>
    </w:p>
    <w:p>
      <w:pPr>
        <w:spacing w:before="0" w:after="80"/>
      </w:pPr>
      <w:r>
        <w:rPr>
          <w:rFonts w:ascii="Times New Roman" w:hAnsi="Times New Roman"/>
          <w:b w:val="0"/>
          <w:i w:val="0"/>
          <w:sz w:val="19"/>
        </w:rPr>
        <w:t>The cloud growth narrative is now firmly intact: Alibaba's AI strategy is differentiated, its model capabilities are competitive globally, and enterprise adoption is accelerating. Cloud is transforming from a cost center into Alibaba's most valuable growth engine. We see cloud growing 30–40% through FY2027 if AI adoption continues at current pace.</w:t>
      </w:r>
    </w:p>
    <w:p>
      <w:pPr>
        <w:jc w:val="center"/>
      </w:pPr>
      <w:r>
        <w:drawing>
          <wp:inline xmlns:a="http://schemas.openxmlformats.org/drawingml/2006/main" xmlns:pic="http://schemas.openxmlformats.org/drawingml/2006/picture">
            <wp:extent cx="5303520" cy="2946400"/>
            <wp:docPr id="3" name="Picture 3"/>
            <wp:cNvGraphicFramePr>
              <a:graphicFrameLocks noChangeAspect="1"/>
            </wp:cNvGraphicFramePr>
            <a:graphic>
              <a:graphicData uri="http://schemas.openxmlformats.org/drawingml/2006/picture">
                <pic:pic>
                  <pic:nvPicPr>
                    <pic:cNvPr id="0" name="baba_chart2_cloud_revenue.png"/>
                    <pic:cNvPicPr/>
                  </pic:nvPicPr>
                  <pic:blipFill>
                    <a:blip r:embed="rId11"/>
                    <a:stretch>
                      <a:fillRect/>
                    </a:stretch>
                  </pic:blipFill>
                  <pic:spPr>
                    <a:xfrm>
                      <a:off x="0" y="0"/>
                      <a:ext cx="5303520" cy="2946400"/>
                    </a:xfrm>
                    <a:prstGeom prst="rect"/>
                  </pic:spPr>
                </pic:pic>
              </a:graphicData>
            </a:graphic>
          </wp:inline>
        </w:drawing>
      </w:r>
    </w:p>
    <w:p>
      <w:pPr>
        <w:spacing w:before="0" w:after="80"/>
      </w:pPr>
      <w:r>
        <w:rPr>
          <w:rFonts w:ascii="Times New Roman" w:hAnsi="Times New Roman"/>
          <w:b w:val="0"/>
          <w:i/>
          <w:sz w:val="16"/>
        </w:rPr>
        <w:t>Chart 3: Cloud Intelligence Group — Quarterly Revenue &amp; YoY Growth</w:t>
      </w:r>
    </w:p>
    <w:p/>
    <w:p>
      <w:pPr>
        <w:spacing w:before="200" w:after="80"/>
      </w:pPr>
      <w:r>
        <w:rPr>
          <w:rFonts w:ascii="Times New Roman" w:hAnsi="Times New Roman"/>
          <w:b/>
          <w:i w:val="0"/>
          <w:color w:val="FF6A00"/>
          <w:sz w:val="22"/>
        </w:rPr>
        <w:t>International Digital Commerce (AIDC) — Structural Reset</w:t>
      </w:r>
    </w:p>
    <w:p>
      <w:pPr>
        <w:spacing w:before="0" w:after="80"/>
      </w:pPr>
      <w:r>
        <w:rPr>
          <w:rFonts w:ascii="Times New Roman" w:hAnsi="Times New Roman"/>
          <w:b w:val="0"/>
          <w:i w:val="0"/>
          <w:sz w:val="19"/>
        </w:rPr>
        <w:t>AIDC revenue of RMB 32.4B ($4.6B) grew only +3% YoY, a sharp deceleration from the +32% pace recorded in the year-ago Q3 FY2025 quarter. The slowdown reflects two factors: (1) Lazada (Southeast Asia) experienced continued operational restructuring and a reduction in loss-making GMV, partially offsetting gains from AliExpress; and (2) AliExpress is intentionally shifting from a volume-driven to a margin-driven model.</w:t>
      </w:r>
    </w:p>
    <w:p>
      <w:pPr>
        <w:spacing w:before="0" w:after="80"/>
      </w:pPr>
      <w:r>
        <w:rPr>
          <w:rFonts w:ascii="Times New Roman" w:hAnsi="Times New Roman"/>
          <w:b w:val="0"/>
          <w:i w:val="0"/>
          <w:sz w:val="19"/>
        </w:rPr>
        <w:t>The positive read-through is AIDC's significant profitability improvement — losses narrowed substantially YoY through logistics optimization and a more disciplined approach to international expansion. Management appears to be prioritizing quality of international revenue over quantity, consistent with the overall portfolio rationalization approach (Intime, Sun Art divestitures).</w:t>
      </w:r>
    </w:p>
    <w:p>
      <w:pPr>
        <w:jc w:val="center"/>
      </w:pPr>
      <w:r>
        <w:drawing>
          <wp:inline xmlns:a="http://schemas.openxmlformats.org/drawingml/2006/main" xmlns:pic="http://schemas.openxmlformats.org/drawingml/2006/picture">
            <wp:extent cx="5303520" cy="2946400"/>
            <wp:docPr id="4" name="Picture 4"/>
            <wp:cNvGraphicFramePr>
              <a:graphicFrameLocks noChangeAspect="1"/>
            </wp:cNvGraphicFramePr>
            <a:graphic>
              <a:graphicData uri="http://schemas.openxmlformats.org/drawingml/2006/picture">
                <pic:pic>
                  <pic:nvPicPr>
                    <pic:cNvPr id="0" name="baba_chart8_aidc_revenue.png"/>
                    <pic:cNvPicPr/>
                  </pic:nvPicPr>
                  <pic:blipFill>
                    <a:blip r:embed="rId12"/>
                    <a:stretch>
                      <a:fillRect/>
                    </a:stretch>
                  </pic:blipFill>
                  <pic:spPr>
                    <a:xfrm>
                      <a:off x="0" y="0"/>
                      <a:ext cx="5303520" cy="2946400"/>
                    </a:xfrm>
                    <a:prstGeom prst="rect"/>
                  </pic:spPr>
                </pic:pic>
              </a:graphicData>
            </a:graphic>
          </wp:inline>
        </w:drawing>
      </w:r>
    </w:p>
    <w:p>
      <w:pPr>
        <w:spacing w:before="0" w:after="80"/>
      </w:pPr>
      <w:r>
        <w:rPr>
          <w:rFonts w:ascii="Times New Roman" w:hAnsi="Times New Roman"/>
          <w:b w:val="0"/>
          <w:i/>
          <w:sz w:val="16"/>
        </w:rPr>
        <w:t>Chart 4: International Digital Commerce (AIDC) — Revenue &amp; YoY Growth Trend</w:t>
      </w:r>
    </w:p>
    <w:p>
      <w:r>
        <w:br w:type="page"/>
      </w:r>
    </w:p>
    <w:p>
      <w:pPr>
        <w:spacing w:before="200" w:after="80"/>
      </w:pPr>
      <w:r>
        <w:rPr>
          <w:rFonts w:ascii="Times New Roman" w:hAnsi="Times New Roman"/>
          <w:b/>
          <w:i w:val="0"/>
          <w:color w:val="1F2D5C"/>
          <w:sz w:val="26"/>
        </w:rPr>
        <w:t>KEY METRICS &amp; PROFITABILITY ANALYSIS</w:t>
      </w:r>
    </w:p>
    <w:p>
      <w:pPr>
        <w:spacing w:before="200" w:after="80"/>
      </w:pPr>
      <w:r>
        <w:rPr>
          <w:rFonts w:ascii="Times New Roman" w:hAnsi="Times New Roman"/>
          <w:b/>
          <w:i w:val="0"/>
          <w:color w:val="FF6A00"/>
          <w:sz w:val="22"/>
        </w:rPr>
        <w:t>The Investment Cycle — Deliberate Profitability Sacrifice</w:t>
      </w:r>
    </w:p>
    <w:p>
      <w:pPr>
        <w:spacing w:before="0" w:after="80"/>
      </w:pPr>
      <w:r>
        <w:rPr>
          <w:rFonts w:ascii="Times New Roman" w:hAnsi="Times New Roman"/>
          <w:b w:val="0"/>
          <w:i w:val="0"/>
          <w:sz w:val="19"/>
        </w:rPr>
        <w:t>The defining feature of Alibaba's Q3 FY2026 results is not what it missed, but why. All profitability metrics fell sharply — not due to structural erosion, but intentional reinvestment:</w:t>
      </w:r>
    </w:p>
    <w:p>
      <w:pPr>
        <w:pStyle w:val="ListBullet"/>
        <w:spacing w:before="0" w:after="40"/>
      </w:pPr>
      <w:r>
        <w:rPr>
          <w:rFonts w:ascii="Times New Roman" w:hAnsi="Times New Roman"/>
          <w:b w:val="0"/>
          <w:i w:val="0"/>
          <w:sz w:val="19"/>
        </w:rPr>
        <w:t>Adjusted EBITA: RMB 23.4B (–57% YoY) — compressed by AI infrastructure capex, quick commerce logistics buildout, and enhanced consumer experience spending.</w:t>
      </w:r>
    </w:p>
    <w:p>
      <w:pPr>
        <w:pStyle w:val="ListBullet"/>
        <w:spacing w:before="0" w:after="40"/>
      </w:pPr>
      <w:r>
        <w:rPr>
          <w:rFonts w:ascii="Times New Roman" w:hAnsi="Times New Roman"/>
          <w:b w:val="0"/>
          <w:i w:val="0"/>
          <w:sz w:val="19"/>
        </w:rPr>
        <w:t>Non-GAAP EPS/ADS: RMB 7.09 ($1.01) vs consensus ~¥9.00 — missed by ~21%; below the prior quarter's ¥4.36 though that was the cycle trough.</w:t>
      </w:r>
    </w:p>
    <w:p>
      <w:pPr>
        <w:pStyle w:val="ListBullet"/>
        <w:spacing w:before="0" w:after="40"/>
      </w:pPr>
      <w:r>
        <w:rPr>
          <w:rFonts w:ascii="Times New Roman" w:hAnsi="Times New Roman"/>
          <w:b w:val="0"/>
          <w:i w:val="0"/>
          <w:sz w:val="19"/>
        </w:rPr>
        <w:t>Free Cash Flow: RMB 11.3B (–71% YoY) — reflecting capex intensity; management has not disclosed specific capex figures.</w:t>
      </w:r>
    </w:p>
    <w:p>
      <w:pPr>
        <w:pStyle w:val="ListBullet"/>
        <w:spacing w:before="0" w:after="40"/>
      </w:pPr>
      <w:r>
        <w:rPr>
          <w:rFonts w:ascii="Times New Roman" w:hAnsi="Times New Roman"/>
          <w:b w:val="0"/>
          <w:i w:val="0"/>
          <w:sz w:val="19"/>
        </w:rPr>
        <w:t>GAAP Net Income: RMB 15.6B (–66% YoY) — includes non-cash charges and investment mark-to-market.</w:t>
      </w:r>
    </w:p>
    <w:p>
      <w:pPr>
        <w:pStyle w:val="ListBullet"/>
        <w:spacing w:before="0" w:after="40"/>
      </w:pPr>
      <w:r>
        <w:rPr>
          <w:rFonts w:ascii="Times New Roman" w:hAnsi="Times New Roman"/>
          <w:b w:val="0"/>
          <w:i w:val="0"/>
          <w:sz w:val="19"/>
        </w:rPr>
        <w:t>Gross Margin: ~39.7% — modestly lower YoY, driven by quick commerce logistics costs and cloud infrastructure buildout.</w:t>
      </w:r>
    </w:p>
    <w:p>
      <w:pPr>
        <w:jc w:val="center"/>
      </w:pPr>
      <w:r>
        <w:drawing>
          <wp:inline xmlns:a="http://schemas.openxmlformats.org/drawingml/2006/main" xmlns:pic="http://schemas.openxmlformats.org/drawingml/2006/picture">
            <wp:extent cx="5303520" cy="2946400"/>
            <wp:docPr id="5" name="Picture 5"/>
            <wp:cNvGraphicFramePr>
              <a:graphicFrameLocks noChangeAspect="1"/>
            </wp:cNvGraphicFramePr>
            <a:graphic>
              <a:graphicData uri="http://schemas.openxmlformats.org/drawingml/2006/picture">
                <pic:pic>
                  <pic:nvPicPr>
                    <pic:cNvPr id="0" name="baba_chart4_adj_ebita.png"/>
                    <pic:cNvPicPr/>
                  </pic:nvPicPr>
                  <pic:blipFill>
                    <a:blip r:embed="rId13"/>
                    <a:stretch>
                      <a:fillRect/>
                    </a:stretch>
                  </pic:blipFill>
                  <pic:spPr>
                    <a:xfrm>
                      <a:off x="0" y="0"/>
                      <a:ext cx="5303520" cy="2946400"/>
                    </a:xfrm>
                    <a:prstGeom prst="rect"/>
                  </pic:spPr>
                </pic:pic>
              </a:graphicData>
            </a:graphic>
          </wp:inline>
        </w:drawing>
      </w:r>
    </w:p>
    <w:p>
      <w:pPr>
        <w:spacing w:before="0" w:after="80"/>
      </w:pPr>
      <w:r>
        <w:rPr>
          <w:rFonts w:ascii="Times New Roman" w:hAnsi="Times New Roman"/>
          <w:b w:val="0"/>
          <w:i/>
          <w:sz w:val="16"/>
        </w:rPr>
        <w:t>Chart 5: Adjusted EBITA vs Revenue YoY Growth — Investment Cycle Analysis</w:t>
      </w:r>
    </w:p>
    <w:p/>
    <w:p>
      <w:pPr>
        <w:jc w:val="center"/>
      </w:pPr>
      <w:r>
        <w:drawing>
          <wp:inline xmlns:a="http://schemas.openxmlformats.org/drawingml/2006/main" xmlns:pic="http://schemas.openxmlformats.org/drawingml/2006/picture">
            <wp:extent cx="5303520" cy="2946400"/>
            <wp:docPr id="6" name="Picture 6"/>
            <wp:cNvGraphicFramePr>
              <a:graphicFrameLocks noChangeAspect="1"/>
            </wp:cNvGraphicFramePr>
            <a:graphic>
              <a:graphicData uri="http://schemas.openxmlformats.org/drawingml/2006/picture">
                <pic:pic>
                  <pic:nvPicPr>
                    <pic:cNvPr id="0" name="baba_chart5_eps.png"/>
                    <pic:cNvPicPr/>
                  </pic:nvPicPr>
                  <pic:blipFill>
                    <a:blip r:embed="rId14"/>
                    <a:stretch>
                      <a:fillRect/>
                    </a:stretch>
                  </pic:blipFill>
                  <pic:spPr>
                    <a:xfrm>
                      <a:off x="0" y="0"/>
                      <a:ext cx="5303520" cy="2946400"/>
                    </a:xfrm>
                    <a:prstGeom prst="rect"/>
                  </pic:spPr>
                </pic:pic>
              </a:graphicData>
            </a:graphic>
          </wp:inline>
        </w:drawing>
      </w:r>
    </w:p>
    <w:p>
      <w:pPr>
        <w:spacing w:before="0" w:after="80"/>
      </w:pPr>
      <w:r>
        <w:rPr>
          <w:rFonts w:ascii="Times New Roman" w:hAnsi="Times New Roman"/>
          <w:b w:val="0"/>
          <w:i/>
          <w:sz w:val="16"/>
        </w:rPr>
        <w:t>Chart 6: Non-GAAP EPS per ADS (RMB) — Q4 FY25 to Q3 FY26</w:t>
      </w:r>
    </w:p>
    <w:p/>
    <w:p>
      <w:pPr>
        <w:spacing w:before="200" w:after="80"/>
      </w:pPr>
      <w:r>
        <w:rPr>
          <w:rFonts w:ascii="Times New Roman" w:hAnsi="Times New Roman"/>
          <w:b/>
          <w:i w:val="0"/>
          <w:color w:val="FF6A00"/>
          <w:sz w:val="22"/>
        </w:rPr>
        <w:t>Profitability Metrics — Last 4 Quarters</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2268"/>
            <w:shd w:val="clear" w:color="auto" w:fill="1F2D5C"/>
            <w:vAlign w:val="center"/>
          </w:tcPr>
          <w:p>
            <w:pPr>
              <w:jc w:val="center"/>
            </w:pPr>
            <w:r>
              <w:rPr>
                <w:rFonts w:ascii="Times New Roman" w:hAnsi="Times New Roman"/>
                <w:b/>
                <w:i w:val="0"/>
                <w:color w:val="FFFFFF"/>
                <w:sz w:val="16"/>
              </w:rPr>
              <w:t>Metric</w:t>
            </w:r>
          </w:p>
        </w:tc>
        <w:tc>
          <w:tcPr>
            <w:tcW w:type="dxa" w:w="1134"/>
            <w:shd w:val="clear" w:color="auto" w:fill="1F2D5C"/>
            <w:vAlign w:val="center"/>
          </w:tcPr>
          <w:p>
            <w:pPr>
              <w:jc w:val="center"/>
            </w:pPr>
            <w:r>
              <w:rPr>
                <w:rFonts w:ascii="Times New Roman" w:hAnsi="Times New Roman"/>
                <w:b/>
                <w:i w:val="0"/>
                <w:color w:val="FFFFFF"/>
                <w:sz w:val="16"/>
              </w:rPr>
              <w:t>Q4 FY25</w:t>
            </w:r>
          </w:p>
        </w:tc>
        <w:tc>
          <w:tcPr>
            <w:tcW w:type="dxa" w:w="1134"/>
            <w:shd w:val="clear" w:color="auto" w:fill="1F2D5C"/>
            <w:vAlign w:val="center"/>
          </w:tcPr>
          <w:p>
            <w:pPr>
              <w:jc w:val="center"/>
            </w:pPr>
            <w:r>
              <w:rPr>
                <w:rFonts w:ascii="Times New Roman" w:hAnsi="Times New Roman"/>
                <w:b/>
                <w:i w:val="0"/>
                <w:color w:val="FFFFFF"/>
                <w:sz w:val="16"/>
              </w:rPr>
              <w:t>Q1 FY26</w:t>
            </w:r>
          </w:p>
        </w:tc>
        <w:tc>
          <w:tcPr>
            <w:tcW w:type="dxa" w:w="1134"/>
            <w:shd w:val="clear" w:color="auto" w:fill="1F2D5C"/>
            <w:vAlign w:val="center"/>
          </w:tcPr>
          <w:p>
            <w:pPr>
              <w:jc w:val="center"/>
            </w:pPr>
            <w:r>
              <w:rPr>
                <w:rFonts w:ascii="Times New Roman" w:hAnsi="Times New Roman"/>
                <w:b/>
                <w:i w:val="0"/>
                <w:color w:val="FFFFFF"/>
                <w:sz w:val="16"/>
              </w:rPr>
              <w:t>Q2 FY26</w:t>
            </w:r>
          </w:p>
        </w:tc>
        <w:tc>
          <w:tcPr>
            <w:tcW w:type="dxa" w:w="1134"/>
            <w:shd w:val="clear" w:color="auto" w:fill="1F2D5C"/>
            <w:vAlign w:val="center"/>
          </w:tcPr>
          <w:p>
            <w:pPr>
              <w:jc w:val="center"/>
            </w:pPr>
            <w:r>
              <w:rPr>
                <w:rFonts w:ascii="Times New Roman" w:hAnsi="Times New Roman"/>
                <w:b/>
                <w:i w:val="0"/>
                <w:color w:val="FFFFFF"/>
                <w:sz w:val="16"/>
              </w:rPr>
              <w:t>Q3 FY26</w:t>
            </w:r>
          </w:p>
        </w:tc>
        <w:tc>
          <w:tcPr>
            <w:tcW w:type="dxa" w:w="1417"/>
            <w:shd w:val="clear" w:color="auto" w:fill="1F2D5C"/>
            <w:vAlign w:val="center"/>
          </w:tcPr>
          <w:p>
            <w:pPr>
              <w:jc w:val="center"/>
            </w:pPr>
            <w:r>
              <w:rPr>
                <w:rFonts w:ascii="Times New Roman" w:hAnsi="Times New Roman"/>
                <w:b/>
                <w:i w:val="0"/>
                <w:color w:val="FFFFFF"/>
                <w:sz w:val="16"/>
              </w:rPr>
              <w:t>Q3 FY26 YoY</w:t>
            </w:r>
          </w:p>
        </w:tc>
      </w:tr>
      <w:tr>
        <w:tc>
          <w:tcPr>
            <w:tcW w:type="dxa" w:w="2268"/>
            <w:vAlign w:val="center"/>
          </w:tcPr>
          <w:p>
            <w:pPr>
              <w:jc w:val="center"/>
            </w:pPr>
            <w:r>
              <w:rPr>
                <w:rFonts w:ascii="Times New Roman" w:hAnsi="Times New Roman"/>
                <w:b w:val="0"/>
                <w:i w:val="0"/>
                <w:sz w:val="16"/>
              </w:rPr>
              <w:t>Total Revenue (¥B)</w:t>
            </w:r>
          </w:p>
        </w:tc>
        <w:tc>
          <w:tcPr>
            <w:tcW w:type="dxa" w:w="1134"/>
            <w:vAlign w:val="center"/>
          </w:tcPr>
          <w:p>
            <w:pPr>
              <w:jc w:val="center"/>
            </w:pPr>
            <w:r>
              <w:rPr>
                <w:rFonts w:ascii="Times New Roman" w:hAnsi="Times New Roman"/>
                <w:b w:val="0"/>
                <w:i w:val="0"/>
                <w:sz w:val="16"/>
              </w:rPr>
              <w:t>236.5</w:t>
            </w:r>
          </w:p>
        </w:tc>
        <w:tc>
          <w:tcPr>
            <w:tcW w:type="dxa" w:w="1134"/>
            <w:vAlign w:val="center"/>
          </w:tcPr>
          <w:p>
            <w:pPr>
              <w:jc w:val="center"/>
            </w:pPr>
            <w:r>
              <w:rPr>
                <w:rFonts w:ascii="Times New Roman" w:hAnsi="Times New Roman"/>
                <w:b w:val="0"/>
                <w:i w:val="0"/>
                <w:sz w:val="16"/>
              </w:rPr>
              <w:t>247.7</w:t>
            </w:r>
          </w:p>
        </w:tc>
        <w:tc>
          <w:tcPr>
            <w:tcW w:type="dxa" w:w="1134"/>
            <w:vAlign w:val="center"/>
          </w:tcPr>
          <w:p>
            <w:pPr>
              <w:jc w:val="center"/>
            </w:pPr>
            <w:r>
              <w:rPr>
                <w:rFonts w:ascii="Times New Roman" w:hAnsi="Times New Roman"/>
                <w:b w:val="0"/>
                <w:i w:val="0"/>
                <w:sz w:val="16"/>
              </w:rPr>
              <w:t>247.8</w:t>
            </w:r>
          </w:p>
        </w:tc>
        <w:tc>
          <w:tcPr>
            <w:tcW w:type="dxa" w:w="1134"/>
            <w:vAlign w:val="center"/>
          </w:tcPr>
          <w:p>
            <w:pPr>
              <w:jc w:val="center"/>
            </w:pPr>
            <w:r>
              <w:rPr>
                <w:rFonts w:ascii="Times New Roman" w:hAnsi="Times New Roman"/>
                <w:b w:val="0"/>
                <w:i w:val="0"/>
                <w:sz w:val="16"/>
              </w:rPr>
              <w:t>284.8</w:t>
            </w:r>
          </w:p>
        </w:tc>
        <w:tc>
          <w:tcPr>
            <w:tcW w:type="dxa" w:w="1417"/>
            <w:vAlign w:val="center"/>
          </w:tcPr>
          <w:p>
            <w:pPr>
              <w:jc w:val="center"/>
            </w:pPr>
            <w:r>
              <w:rPr>
                <w:rFonts w:ascii="Times New Roman" w:hAnsi="Times New Roman"/>
                <w:b w:val="0"/>
                <w:i w:val="0"/>
                <w:sz w:val="16"/>
              </w:rPr>
              <w:t>+2% (rpt'd)</w:t>
            </w:r>
          </w:p>
        </w:tc>
      </w:tr>
      <w:tr>
        <w:tc>
          <w:tcPr>
            <w:tcW w:type="dxa" w:w="2268"/>
            <w:shd w:val="clear" w:color="auto" w:fill="F5F7FA"/>
            <w:vAlign w:val="center"/>
          </w:tcPr>
          <w:p>
            <w:pPr>
              <w:jc w:val="center"/>
            </w:pPr>
            <w:r>
              <w:rPr>
                <w:rFonts w:ascii="Times New Roman" w:hAnsi="Times New Roman"/>
                <w:b w:val="0"/>
                <w:i w:val="0"/>
                <w:sz w:val="16"/>
              </w:rPr>
              <w:t>Adj. EBITA (¥B)</w:t>
            </w:r>
          </w:p>
        </w:tc>
        <w:tc>
          <w:tcPr>
            <w:tcW w:type="dxa" w:w="1134"/>
            <w:shd w:val="clear" w:color="auto" w:fill="F5F7FA"/>
            <w:vAlign w:val="center"/>
          </w:tcPr>
          <w:p>
            <w:pPr>
              <w:jc w:val="center"/>
            </w:pPr>
            <w:r>
              <w:rPr>
                <w:rFonts w:ascii="Times New Roman" w:hAnsi="Times New Roman"/>
                <w:b w:val="0"/>
                <w:i w:val="0"/>
                <w:sz w:val="16"/>
              </w:rPr>
              <w:t>46.4</w:t>
            </w:r>
          </w:p>
        </w:tc>
        <w:tc>
          <w:tcPr>
            <w:tcW w:type="dxa" w:w="1134"/>
            <w:shd w:val="clear" w:color="auto" w:fill="F5F7FA"/>
            <w:vAlign w:val="center"/>
          </w:tcPr>
          <w:p>
            <w:pPr>
              <w:jc w:val="center"/>
            </w:pPr>
            <w:r>
              <w:rPr>
                <w:rFonts w:ascii="Times New Roman" w:hAnsi="Times New Roman"/>
                <w:b w:val="0"/>
                <w:i w:val="0"/>
                <w:sz w:val="16"/>
              </w:rPr>
              <w:t>38.8</w:t>
            </w:r>
          </w:p>
        </w:tc>
        <w:tc>
          <w:tcPr>
            <w:tcW w:type="dxa" w:w="1134"/>
            <w:shd w:val="clear" w:color="auto" w:fill="F5F7FA"/>
            <w:vAlign w:val="center"/>
          </w:tcPr>
          <w:p>
            <w:pPr>
              <w:jc w:val="center"/>
            </w:pPr>
            <w:r>
              <w:rPr>
                <w:rFonts w:ascii="Times New Roman" w:hAnsi="Times New Roman"/>
                <w:b w:val="0"/>
                <w:i w:val="0"/>
                <w:sz w:val="16"/>
              </w:rPr>
              <w:t>9.1</w:t>
            </w:r>
          </w:p>
        </w:tc>
        <w:tc>
          <w:tcPr>
            <w:tcW w:type="dxa" w:w="1134"/>
            <w:shd w:val="clear" w:color="auto" w:fill="F5F7FA"/>
            <w:vAlign w:val="center"/>
          </w:tcPr>
          <w:p>
            <w:pPr>
              <w:jc w:val="center"/>
            </w:pPr>
            <w:r>
              <w:rPr>
                <w:rFonts w:ascii="Times New Roman" w:hAnsi="Times New Roman"/>
                <w:b w:val="0"/>
                <w:i w:val="0"/>
                <w:sz w:val="16"/>
              </w:rPr>
              <w:t>23.4</w:t>
            </w:r>
          </w:p>
        </w:tc>
        <w:tc>
          <w:tcPr>
            <w:tcW w:type="dxa" w:w="1417"/>
            <w:shd w:val="clear" w:color="auto" w:fill="F5F7FA"/>
            <w:vAlign w:val="center"/>
          </w:tcPr>
          <w:p>
            <w:pPr>
              <w:jc w:val="center"/>
            </w:pPr>
            <w:r>
              <w:rPr>
                <w:rFonts w:ascii="Times New Roman" w:hAnsi="Times New Roman"/>
                <w:b w:val="0"/>
                <w:i w:val="0"/>
                <w:sz w:val="16"/>
              </w:rPr>
              <w:t>–57%</w:t>
            </w:r>
          </w:p>
        </w:tc>
      </w:tr>
      <w:tr>
        <w:tc>
          <w:tcPr>
            <w:tcW w:type="dxa" w:w="2268"/>
            <w:vAlign w:val="center"/>
          </w:tcPr>
          <w:p>
            <w:pPr>
              <w:jc w:val="center"/>
            </w:pPr>
            <w:r>
              <w:rPr>
                <w:rFonts w:ascii="Times New Roman" w:hAnsi="Times New Roman"/>
                <w:b w:val="0"/>
                <w:i w:val="0"/>
                <w:sz w:val="16"/>
              </w:rPr>
              <w:t>Adj. EBITA Margin</w:t>
            </w:r>
          </w:p>
        </w:tc>
        <w:tc>
          <w:tcPr>
            <w:tcW w:type="dxa" w:w="1134"/>
            <w:vAlign w:val="center"/>
          </w:tcPr>
          <w:p>
            <w:pPr>
              <w:jc w:val="center"/>
            </w:pPr>
            <w:r>
              <w:rPr>
                <w:rFonts w:ascii="Times New Roman" w:hAnsi="Times New Roman"/>
                <w:b w:val="0"/>
                <w:i w:val="0"/>
                <w:sz w:val="16"/>
              </w:rPr>
              <w:t>~19.6%</w:t>
            </w:r>
          </w:p>
        </w:tc>
        <w:tc>
          <w:tcPr>
            <w:tcW w:type="dxa" w:w="1134"/>
            <w:vAlign w:val="center"/>
          </w:tcPr>
          <w:p>
            <w:pPr>
              <w:jc w:val="center"/>
            </w:pPr>
            <w:r>
              <w:rPr>
                <w:rFonts w:ascii="Times New Roman" w:hAnsi="Times New Roman"/>
                <w:b w:val="0"/>
                <w:i w:val="0"/>
                <w:sz w:val="16"/>
              </w:rPr>
              <w:t>~15.7%</w:t>
            </w:r>
          </w:p>
        </w:tc>
        <w:tc>
          <w:tcPr>
            <w:tcW w:type="dxa" w:w="1134"/>
            <w:vAlign w:val="center"/>
          </w:tcPr>
          <w:p>
            <w:pPr>
              <w:jc w:val="center"/>
            </w:pPr>
            <w:r>
              <w:rPr>
                <w:rFonts w:ascii="Times New Roman" w:hAnsi="Times New Roman"/>
                <w:b w:val="0"/>
                <w:i w:val="0"/>
                <w:sz w:val="16"/>
              </w:rPr>
              <w:t>~3.7%</w:t>
            </w:r>
          </w:p>
        </w:tc>
        <w:tc>
          <w:tcPr>
            <w:tcW w:type="dxa" w:w="1134"/>
            <w:vAlign w:val="center"/>
          </w:tcPr>
          <w:p>
            <w:pPr>
              <w:jc w:val="center"/>
            </w:pPr>
            <w:r>
              <w:rPr>
                <w:rFonts w:ascii="Times New Roman" w:hAnsi="Times New Roman"/>
                <w:b w:val="0"/>
                <w:i w:val="0"/>
                <w:sz w:val="16"/>
              </w:rPr>
              <w:t>~8.2%</w:t>
            </w:r>
          </w:p>
        </w:tc>
        <w:tc>
          <w:tcPr>
            <w:tcW w:type="dxa" w:w="1417"/>
            <w:vAlign w:val="center"/>
          </w:tcPr>
          <w:p>
            <w:pPr>
              <w:jc w:val="center"/>
            </w:pPr>
            <w:r>
              <w:rPr>
                <w:rFonts w:ascii="Times New Roman" w:hAnsi="Times New Roman"/>
                <w:b w:val="0"/>
                <w:i w:val="0"/>
                <w:sz w:val="16"/>
              </w:rPr>
              <w:t>–7pp YoY</w:t>
            </w:r>
          </w:p>
        </w:tc>
      </w:tr>
      <w:tr>
        <w:tc>
          <w:tcPr>
            <w:tcW w:type="dxa" w:w="2268"/>
            <w:shd w:val="clear" w:color="auto" w:fill="F5F7FA"/>
            <w:vAlign w:val="center"/>
          </w:tcPr>
          <w:p>
            <w:pPr>
              <w:jc w:val="center"/>
            </w:pPr>
            <w:r>
              <w:rPr>
                <w:rFonts w:ascii="Times New Roman" w:hAnsi="Times New Roman"/>
                <w:b w:val="0"/>
                <w:i w:val="0"/>
                <w:sz w:val="16"/>
              </w:rPr>
              <w:t>Non-GAAP EPS/ADS (¥)</w:t>
            </w:r>
          </w:p>
        </w:tc>
        <w:tc>
          <w:tcPr>
            <w:tcW w:type="dxa" w:w="1134"/>
            <w:shd w:val="clear" w:color="auto" w:fill="F5F7FA"/>
            <w:vAlign w:val="center"/>
          </w:tcPr>
          <w:p>
            <w:pPr>
              <w:jc w:val="center"/>
            </w:pPr>
            <w:r>
              <w:rPr>
                <w:rFonts w:ascii="Times New Roman" w:hAnsi="Times New Roman"/>
                <w:b w:val="0"/>
                <w:i w:val="0"/>
                <w:sz w:val="16"/>
              </w:rPr>
              <w:t>12.52</w:t>
            </w:r>
          </w:p>
        </w:tc>
        <w:tc>
          <w:tcPr>
            <w:tcW w:type="dxa" w:w="1134"/>
            <w:shd w:val="clear" w:color="auto" w:fill="F5F7FA"/>
            <w:vAlign w:val="center"/>
          </w:tcPr>
          <w:p>
            <w:pPr>
              <w:jc w:val="center"/>
            </w:pPr>
            <w:r>
              <w:rPr>
                <w:rFonts w:ascii="Times New Roman" w:hAnsi="Times New Roman"/>
                <w:b w:val="0"/>
                <w:i w:val="0"/>
                <w:sz w:val="16"/>
              </w:rPr>
              <w:t>14.75</w:t>
            </w:r>
          </w:p>
        </w:tc>
        <w:tc>
          <w:tcPr>
            <w:tcW w:type="dxa" w:w="1134"/>
            <w:shd w:val="clear" w:color="auto" w:fill="F5F7FA"/>
            <w:vAlign w:val="center"/>
          </w:tcPr>
          <w:p>
            <w:pPr>
              <w:jc w:val="center"/>
            </w:pPr>
            <w:r>
              <w:rPr>
                <w:rFonts w:ascii="Times New Roman" w:hAnsi="Times New Roman"/>
                <w:b w:val="0"/>
                <w:i w:val="0"/>
                <w:sz w:val="16"/>
              </w:rPr>
              <w:t>4.36</w:t>
            </w:r>
          </w:p>
        </w:tc>
        <w:tc>
          <w:tcPr>
            <w:tcW w:type="dxa" w:w="1134"/>
            <w:shd w:val="clear" w:color="auto" w:fill="F5F7FA"/>
            <w:vAlign w:val="center"/>
          </w:tcPr>
          <w:p>
            <w:pPr>
              <w:jc w:val="center"/>
            </w:pPr>
            <w:r>
              <w:rPr>
                <w:rFonts w:ascii="Times New Roman" w:hAnsi="Times New Roman"/>
                <w:b w:val="0"/>
                <w:i w:val="0"/>
                <w:sz w:val="16"/>
              </w:rPr>
              <w:t>7.09</w:t>
            </w:r>
          </w:p>
        </w:tc>
        <w:tc>
          <w:tcPr>
            <w:tcW w:type="dxa" w:w="1417"/>
            <w:shd w:val="clear" w:color="auto" w:fill="F5F7FA"/>
            <w:vAlign w:val="center"/>
          </w:tcPr>
          <w:p>
            <w:pPr>
              <w:jc w:val="center"/>
            </w:pPr>
            <w:r>
              <w:rPr>
                <w:rFonts w:ascii="Times New Roman" w:hAnsi="Times New Roman"/>
                <w:b w:val="0"/>
                <w:i w:val="0"/>
                <w:sz w:val="16"/>
              </w:rPr>
              <w:t>~–55%</w:t>
            </w:r>
          </w:p>
        </w:tc>
      </w:tr>
      <w:tr>
        <w:tc>
          <w:tcPr>
            <w:tcW w:type="dxa" w:w="2268"/>
            <w:vAlign w:val="center"/>
          </w:tcPr>
          <w:p>
            <w:pPr>
              <w:jc w:val="center"/>
            </w:pPr>
            <w:r>
              <w:rPr>
                <w:rFonts w:ascii="Times New Roman" w:hAnsi="Times New Roman"/>
                <w:b w:val="0"/>
                <w:i w:val="0"/>
                <w:sz w:val="16"/>
              </w:rPr>
              <w:t>Free Cash Flow (¥B)</w:t>
            </w:r>
          </w:p>
        </w:tc>
        <w:tc>
          <w:tcPr>
            <w:tcW w:type="dxa" w:w="1134"/>
            <w:vAlign w:val="center"/>
          </w:tcPr>
          <w:p>
            <w:pPr>
              <w:jc w:val="center"/>
            </w:pPr>
            <w:r>
              <w:rPr>
                <w:rFonts w:ascii="Times New Roman" w:hAnsi="Times New Roman"/>
                <w:b w:val="0"/>
                <w:i w:val="0"/>
                <w:sz w:val="16"/>
              </w:rPr>
              <w:t>49.0</w:t>
            </w:r>
          </w:p>
        </w:tc>
        <w:tc>
          <w:tcPr>
            <w:tcW w:type="dxa" w:w="1134"/>
            <w:vAlign w:val="center"/>
          </w:tcPr>
          <w:p>
            <w:pPr>
              <w:jc w:val="center"/>
            </w:pPr>
            <w:r>
              <w:rPr>
                <w:rFonts w:ascii="Times New Roman" w:hAnsi="Times New Roman"/>
                <w:b w:val="0"/>
                <w:i w:val="0"/>
                <w:sz w:val="16"/>
              </w:rPr>
              <w:t>41.6</w:t>
            </w:r>
          </w:p>
        </w:tc>
        <w:tc>
          <w:tcPr>
            <w:tcW w:type="dxa" w:w="1134"/>
            <w:vAlign w:val="center"/>
          </w:tcPr>
          <w:p>
            <w:pPr>
              <w:jc w:val="center"/>
            </w:pPr>
            <w:r>
              <w:rPr>
                <w:rFonts w:ascii="Times New Roman" w:hAnsi="Times New Roman"/>
                <w:b w:val="0"/>
                <w:i w:val="0"/>
                <w:sz w:val="16"/>
              </w:rPr>
              <w:t>22.5</w:t>
            </w:r>
          </w:p>
        </w:tc>
        <w:tc>
          <w:tcPr>
            <w:tcW w:type="dxa" w:w="1134"/>
            <w:vAlign w:val="center"/>
          </w:tcPr>
          <w:p>
            <w:pPr>
              <w:jc w:val="center"/>
            </w:pPr>
            <w:r>
              <w:rPr>
                <w:rFonts w:ascii="Times New Roman" w:hAnsi="Times New Roman"/>
                <w:b w:val="0"/>
                <w:i w:val="0"/>
                <w:sz w:val="16"/>
              </w:rPr>
              <w:t>11.3</w:t>
            </w:r>
          </w:p>
        </w:tc>
        <w:tc>
          <w:tcPr>
            <w:tcW w:type="dxa" w:w="1417"/>
            <w:vAlign w:val="center"/>
          </w:tcPr>
          <w:p>
            <w:pPr>
              <w:jc w:val="center"/>
            </w:pPr>
            <w:r>
              <w:rPr>
                <w:rFonts w:ascii="Times New Roman" w:hAnsi="Times New Roman"/>
                <w:b w:val="0"/>
                <w:i w:val="0"/>
                <w:sz w:val="16"/>
              </w:rPr>
              <w:t>–71%</w:t>
            </w:r>
          </w:p>
        </w:tc>
      </w:tr>
      <w:tr>
        <w:tc>
          <w:tcPr>
            <w:tcW w:type="dxa" w:w="2268"/>
            <w:shd w:val="clear" w:color="auto" w:fill="F5F7FA"/>
            <w:vAlign w:val="center"/>
          </w:tcPr>
          <w:p>
            <w:pPr>
              <w:jc w:val="center"/>
            </w:pPr>
            <w:r>
              <w:rPr>
                <w:rFonts w:ascii="Times New Roman" w:hAnsi="Times New Roman"/>
                <w:b w:val="0"/>
                <w:i w:val="0"/>
                <w:sz w:val="16"/>
              </w:rPr>
              <w:t>Gross Margin (%)</w:t>
            </w:r>
          </w:p>
        </w:tc>
        <w:tc>
          <w:tcPr>
            <w:tcW w:type="dxa" w:w="1134"/>
            <w:shd w:val="clear" w:color="auto" w:fill="F5F7FA"/>
            <w:vAlign w:val="center"/>
          </w:tcPr>
          <w:p>
            <w:pPr>
              <w:jc w:val="center"/>
            </w:pPr>
            <w:r>
              <w:rPr>
                <w:rFonts w:ascii="Times New Roman" w:hAnsi="Times New Roman"/>
                <w:b w:val="0"/>
                <w:i w:val="0"/>
                <w:sz w:val="16"/>
              </w:rPr>
              <w:t>~42.5%</w:t>
            </w:r>
          </w:p>
        </w:tc>
        <w:tc>
          <w:tcPr>
            <w:tcW w:type="dxa" w:w="1134"/>
            <w:shd w:val="clear" w:color="auto" w:fill="F5F7FA"/>
            <w:vAlign w:val="center"/>
          </w:tcPr>
          <w:p>
            <w:pPr>
              <w:jc w:val="center"/>
            </w:pPr>
            <w:r>
              <w:rPr>
                <w:rFonts w:ascii="Times New Roman" w:hAnsi="Times New Roman"/>
                <w:b w:val="0"/>
                <w:i w:val="0"/>
                <w:sz w:val="16"/>
              </w:rPr>
              <w:t>~41.9%</w:t>
            </w:r>
          </w:p>
        </w:tc>
        <w:tc>
          <w:tcPr>
            <w:tcW w:type="dxa" w:w="1134"/>
            <w:shd w:val="clear" w:color="auto" w:fill="F5F7FA"/>
            <w:vAlign w:val="center"/>
          </w:tcPr>
          <w:p>
            <w:pPr>
              <w:jc w:val="center"/>
            </w:pPr>
            <w:r>
              <w:rPr>
                <w:rFonts w:ascii="Times New Roman" w:hAnsi="Times New Roman"/>
                <w:b w:val="0"/>
                <w:i w:val="0"/>
                <w:sz w:val="16"/>
              </w:rPr>
              <w:t>~40.2%</w:t>
            </w:r>
          </w:p>
        </w:tc>
        <w:tc>
          <w:tcPr>
            <w:tcW w:type="dxa" w:w="1134"/>
            <w:shd w:val="clear" w:color="auto" w:fill="F5F7FA"/>
            <w:vAlign w:val="center"/>
          </w:tcPr>
          <w:p>
            <w:pPr>
              <w:jc w:val="center"/>
            </w:pPr>
            <w:r>
              <w:rPr>
                <w:rFonts w:ascii="Times New Roman" w:hAnsi="Times New Roman"/>
                <w:b w:val="0"/>
                <w:i w:val="0"/>
                <w:sz w:val="16"/>
              </w:rPr>
              <w:t>~39.7%</w:t>
            </w:r>
          </w:p>
        </w:tc>
        <w:tc>
          <w:tcPr>
            <w:tcW w:type="dxa" w:w="1417"/>
            <w:shd w:val="clear" w:color="auto" w:fill="F5F7FA"/>
            <w:vAlign w:val="center"/>
          </w:tcPr>
          <w:p>
            <w:pPr>
              <w:jc w:val="center"/>
            </w:pPr>
            <w:r>
              <w:rPr>
                <w:rFonts w:ascii="Times New Roman" w:hAnsi="Times New Roman"/>
                <w:b w:val="0"/>
                <w:i w:val="0"/>
                <w:sz w:val="16"/>
              </w:rPr>
              <w:t>–80bps</w:t>
            </w:r>
          </w:p>
        </w:tc>
      </w:tr>
    </w:tbl>
    <w:p/>
    <w:p>
      <w:pPr>
        <w:jc w:val="center"/>
      </w:pPr>
      <w:r>
        <w:drawing>
          <wp:inline xmlns:a="http://schemas.openxmlformats.org/drawingml/2006/main" xmlns:pic="http://schemas.openxmlformats.org/drawingml/2006/picture">
            <wp:extent cx="5303520" cy="2946400"/>
            <wp:docPr id="7" name="Picture 7"/>
            <wp:cNvGraphicFramePr>
              <a:graphicFrameLocks noChangeAspect="1"/>
            </wp:cNvGraphicFramePr>
            <a:graphic>
              <a:graphicData uri="http://schemas.openxmlformats.org/drawingml/2006/picture">
                <pic:pic>
                  <pic:nvPicPr>
                    <pic:cNvPr id="0" name="baba_chart10_fcf_ebita.png"/>
                    <pic:cNvPicPr/>
                  </pic:nvPicPr>
                  <pic:blipFill>
                    <a:blip r:embed="rId15"/>
                    <a:stretch>
                      <a:fillRect/>
                    </a:stretch>
                  </pic:blipFill>
                  <pic:spPr>
                    <a:xfrm>
                      <a:off x="0" y="0"/>
                      <a:ext cx="5303520" cy="2946400"/>
                    </a:xfrm>
                    <a:prstGeom prst="rect"/>
                  </pic:spPr>
                </pic:pic>
              </a:graphicData>
            </a:graphic>
          </wp:inline>
        </w:drawing>
      </w:r>
    </w:p>
    <w:p>
      <w:pPr>
        <w:spacing w:before="0" w:after="80"/>
      </w:pPr>
      <w:r>
        <w:rPr>
          <w:rFonts w:ascii="Times New Roman" w:hAnsi="Times New Roman"/>
          <w:b w:val="0"/>
          <w:i/>
          <w:sz w:val="16"/>
        </w:rPr>
        <w:t>Chart 7: Adj. EBITA vs. Free Cash Flow — Investment Cycle Deep-Dive</w:t>
      </w:r>
    </w:p>
    <w:p>
      <w:r>
        <w:br w:type="page"/>
      </w:r>
    </w:p>
    <w:p>
      <w:pPr>
        <w:spacing w:before="200" w:after="80"/>
      </w:pPr>
      <w:r>
        <w:rPr>
          <w:rFonts w:ascii="Times New Roman" w:hAnsi="Times New Roman"/>
          <w:b/>
          <w:i w:val="0"/>
          <w:color w:val="1F2D5C"/>
          <w:sz w:val="26"/>
        </w:rPr>
        <w:t>USER METRICS &amp; CONSUMER STRATEGY</w:t>
      </w:r>
    </w:p>
    <w:p>
      <w:pPr>
        <w:spacing w:before="200" w:after="80"/>
      </w:pPr>
      <w:r>
        <w:rPr>
          <w:rFonts w:ascii="Times New Roman" w:hAnsi="Times New Roman"/>
          <w:b/>
          <w:i w:val="0"/>
          <w:color w:val="FF6A00"/>
          <w:sz w:val="22"/>
        </w:rPr>
        <w:t>88VIP — High-Value Consumer Engine at 59M Members</w:t>
      </w:r>
    </w:p>
    <w:p>
      <w:pPr>
        <w:spacing w:before="0" w:after="80"/>
      </w:pPr>
      <w:r>
        <w:rPr>
          <w:rFonts w:ascii="Times New Roman" w:hAnsi="Times New Roman"/>
          <w:b w:val="0"/>
          <w:i w:val="0"/>
          <w:sz w:val="19"/>
        </w:rPr>
        <w:t>Alibaba's premium 88VIP membership program surpassed 59 million members in Q3 FY2026, recording double-digit YoY growth for the quarter. 88VIP members represent the highest-spending cohort within Taobao and Tmall — their ARPU is significantly above average, and they tend to anchor cross-category purchasing behavior across Alibaba's ecosystem.</w:t>
      </w:r>
    </w:p>
    <w:p>
      <w:pPr>
        <w:spacing w:before="0" w:after="80"/>
      </w:pPr>
      <w:r>
        <w:rPr>
          <w:rFonts w:ascii="Times New Roman" w:hAnsi="Times New Roman"/>
          <w:b w:val="0"/>
          <w:i w:val="0"/>
          <w:sz w:val="19"/>
        </w:rPr>
        <w:t>The continued expansion of 88VIP validates Alibaba's premiumization strategy in China. Despite a challenging consumer environment in China, the company has successfully grown its high-quality user base, suggesting that its enhanced product selection, AI-driven personalization, and loyalty benefits are resonating with the upper-middle consumer tier.</w:t>
      </w:r>
    </w:p>
    <w:p>
      <w:pPr>
        <w:jc w:val="center"/>
      </w:pPr>
      <w:r>
        <w:drawing>
          <wp:inline xmlns:a="http://schemas.openxmlformats.org/drawingml/2006/main" xmlns:pic="http://schemas.openxmlformats.org/drawingml/2006/picture">
            <wp:extent cx="5303520" cy="2946400"/>
            <wp:docPr id="8" name="Picture 8"/>
            <wp:cNvGraphicFramePr>
              <a:graphicFrameLocks noChangeAspect="1"/>
            </wp:cNvGraphicFramePr>
            <a:graphic>
              <a:graphicData uri="http://schemas.openxmlformats.org/drawingml/2006/picture">
                <pic:pic>
                  <pic:nvPicPr>
                    <pic:cNvPr id="0" name="baba_chart9_88vip_members.png"/>
                    <pic:cNvPicPr/>
                  </pic:nvPicPr>
                  <pic:blipFill>
                    <a:blip r:embed="rId16"/>
                    <a:stretch>
                      <a:fillRect/>
                    </a:stretch>
                  </pic:blipFill>
                  <pic:spPr>
                    <a:xfrm>
                      <a:off x="0" y="0"/>
                      <a:ext cx="5303520" cy="2946400"/>
                    </a:xfrm>
                    <a:prstGeom prst="rect"/>
                  </pic:spPr>
                </pic:pic>
              </a:graphicData>
            </a:graphic>
          </wp:inline>
        </w:drawing>
      </w:r>
    </w:p>
    <w:p>
      <w:pPr>
        <w:spacing w:before="0" w:after="80"/>
      </w:pPr>
      <w:r>
        <w:rPr>
          <w:rFonts w:ascii="Times New Roman" w:hAnsi="Times New Roman"/>
          <w:b w:val="0"/>
          <w:i/>
          <w:sz w:val="16"/>
        </w:rPr>
        <w:t>Chart 8: 88VIP Premium Members — Quarterly Growth (Millions)</w:t>
      </w:r>
    </w:p>
    <w:p/>
    <w:p>
      <w:pPr>
        <w:spacing w:before="200" w:after="80"/>
      </w:pPr>
      <w:r>
        <w:rPr>
          <w:rFonts w:ascii="Times New Roman" w:hAnsi="Times New Roman"/>
          <w:b/>
          <w:i w:val="0"/>
          <w:color w:val="FF6A00"/>
          <w:sz w:val="22"/>
        </w:rPr>
        <w:t>Qwen AI App — 300M Monthly Active Users</w:t>
      </w:r>
    </w:p>
    <w:p>
      <w:pPr>
        <w:spacing w:before="0" w:after="80"/>
      </w:pPr>
      <w:r>
        <w:rPr>
          <w:rFonts w:ascii="Times New Roman" w:hAnsi="Times New Roman"/>
          <w:b w:val="0"/>
          <w:i w:val="0"/>
          <w:sz w:val="19"/>
        </w:rPr>
        <w:t>Alibaba's Qwen AI consumer app surpassed 300 million monthly active users as of Q3 FY2026 — a landmark milestone that positions it among the top-tier global AI consumer applications alongside OpenAI's ChatGPT and Google's Gemini. The Qwen model family is also gaining significant enterprise traction via Alibaba Cloud's Model-as-a-Service offerings.</w:t>
      </w:r>
    </w:p>
    <w:p>
      <w:pPr>
        <w:spacing w:before="0" w:after="80"/>
      </w:pPr>
      <w:r>
        <w:rPr>
          <w:rFonts w:ascii="Times New Roman" w:hAnsi="Times New Roman"/>
          <w:b w:val="0"/>
          <w:i w:val="0"/>
          <w:sz w:val="19"/>
        </w:rPr>
        <w:t>Qwen's 300M MAU milestone reinforces the thesis that Alibaba is building a durable AI moat. The flywheel between consumer AI usage data, model training improvements, and enterprise Cloud demand is increasingly visible. T-Head AI chips have now shipped cumulatively over 470,000 units through February 2026, reducing Alibaba's dependence on Nvidia GPUs and improving cloud AI margin economics over time.</w:t>
      </w:r>
    </w:p>
    <w:p>
      <w:pPr>
        <w:spacing w:before="200" w:after="80"/>
      </w:pPr>
      <w:r>
        <w:rPr>
          <w:rFonts w:ascii="Times New Roman" w:hAnsi="Times New Roman"/>
          <w:b/>
          <w:i w:val="0"/>
          <w:color w:val="FF6A00"/>
          <w:sz w:val="22"/>
        </w:rPr>
        <w:t>Beat/Miss Visual Summary</w:t>
      </w:r>
    </w:p>
    <w:p>
      <w:pPr>
        <w:jc w:val="center"/>
      </w:pPr>
      <w:r>
        <w:drawing>
          <wp:inline xmlns:a="http://schemas.openxmlformats.org/drawingml/2006/main" xmlns:pic="http://schemas.openxmlformats.org/drawingml/2006/picture">
            <wp:extent cx="5303520" cy="2946400"/>
            <wp:docPr id="9" name="Picture 9"/>
            <wp:cNvGraphicFramePr>
              <a:graphicFrameLocks noChangeAspect="1"/>
            </wp:cNvGraphicFramePr>
            <a:graphic>
              <a:graphicData uri="http://schemas.openxmlformats.org/drawingml/2006/picture">
                <pic:pic>
                  <pic:nvPicPr>
                    <pic:cNvPr id="0" name="baba_chart6_beat_miss.png"/>
                    <pic:cNvPicPr/>
                  </pic:nvPicPr>
                  <pic:blipFill>
                    <a:blip r:embed="rId17"/>
                    <a:stretch>
                      <a:fillRect/>
                    </a:stretch>
                  </pic:blipFill>
                  <pic:spPr>
                    <a:xfrm>
                      <a:off x="0" y="0"/>
                      <a:ext cx="5303520" cy="2946400"/>
                    </a:xfrm>
                    <a:prstGeom prst="rect"/>
                  </pic:spPr>
                </pic:pic>
              </a:graphicData>
            </a:graphic>
          </wp:inline>
        </w:drawing>
      </w:r>
    </w:p>
    <w:p>
      <w:pPr>
        <w:spacing w:before="0" w:after="80"/>
      </w:pPr>
      <w:r>
        <w:rPr>
          <w:rFonts w:ascii="Times New Roman" w:hAnsi="Times New Roman"/>
          <w:b w:val="0"/>
          <w:i/>
          <w:sz w:val="16"/>
        </w:rPr>
        <w:t>Chart 9: Q3 FY2026 Beat/Miss vs. Consensus Estimates — Key Metrics</w:t>
      </w:r>
    </w:p>
    <w:p>
      <w:r>
        <w:br w:type="page"/>
      </w:r>
    </w:p>
    <w:p>
      <w:pPr>
        <w:spacing w:before="200" w:after="80"/>
      </w:pPr>
      <w:r>
        <w:rPr>
          <w:rFonts w:ascii="Times New Roman" w:hAnsi="Times New Roman"/>
          <w:b/>
          <w:i w:val="0"/>
          <w:color w:val="1F2D5C"/>
          <w:sz w:val="26"/>
        </w:rPr>
        <w:t>INVESTMENT THESIS UPDATE</w:t>
      </w:r>
    </w:p>
    <w:p>
      <w:pPr>
        <w:spacing w:before="200" w:after="80"/>
      </w:pPr>
      <w:r>
        <w:rPr>
          <w:rFonts w:ascii="Times New Roman" w:hAnsi="Times New Roman"/>
          <w:b/>
          <w:i w:val="0"/>
          <w:color w:val="FF6A00"/>
          <w:sz w:val="22"/>
        </w:rPr>
        <w:t>Thesis Intact — Investment Cycle Creates Compelling Entry Point</w:t>
      </w:r>
    </w:p>
    <w:p>
      <w:pPr>
        <w:spacing w:before="0" w:after="80"/>
      </w:pPr>
      <w:r>
        <w:rPr>
          <w:rFonts w:ascii="Times New Roman" w:hAnsi="Times New Roman"/>
          <w:b w:val="0"/>
          <w:i w:val="0"/>
          <w:sz w:val="19"/>
        </w:rPr>
        <w:t>We maintain our BUY rating on Alibaba (BABA) with a price target of $120.00 per ADS. The Q3 FY2026 results were mixed on the surface — meaningful profitability misses — but the underlying strategic picture remains compelling. Alibaba is executing a deliberate, management-sanctioned reinvestment cycle, prioritizing long-term competitive positioning in AI and quick commerce over short-term EPS delivery. This creates temporary but significant near-term multiple compression that, in our view, is an opportunity for long-duration investors.</w:t>
      </w:r>
    </w:p>
    <w:p>
      <w:pPr>
        <w:spacing w:before="200" w:after="80"/>
      </w:pPr>
      <w:r>
        <w:rPr>
          <w:rFonts w:ascii="Times New Roman" w:hAnsi="Times New Roman"/>
          <w:b/>
          <w:i w:val="0"/>
          <w:color w:val="FF6A00"/>
          <w:sz w:val="22"/>
        </w:rPr>
        <w:t>What's Changed</w:t>
      </w:r>
    </w:p>
    <w:p>
      <w:pPr>
        <w:spacing w:before="0" w:after="80"/>
      </w:pPr>
      <w:r>
        <w:rPr>
          <w:rFonts w:ascii="Times New Roman" w:hAnsi="Times New Roman"/>
          <w:b w:val="0"/>
          <w:i w:val="0"/>
          <w:sz w:val="19"/>
        </w:rPr>
        <w:t>Positive Developments:</w:t>
      </w:r>
    </w:p>
    <w:p>
      <w:pPr>
        <w:pStyle w:val="ListBullet"/>
        <w:spacing w:before="0" w:after="40"/>
      </w:pPr>
      <w:r>
        <w:rPr>
          <w:rFonts w:ascii="Times New Roman" w:hAnsi="Times New Roman"/>
          <w:b w:val="0"/>
          <w:i w:val="0"/>
          <w:sz w:val="19"/>
        </w:rPr>
        <w:t>Cloud re-acceleration to +36% YoY is faster than our prior 30% forecast; AI product revenue sustaining triple-digit growth for 10 quarters is structural, not cyclical.</w:t>
      </w:r>
    </w:p>
    <w:p>
      <w:pPr>
        <w:pStyle w:val="ListBullet"/>
        <w:spacing w:before="0" w:after="40"/>
      </w:pPr>
      <w:r>
        <w:rPr>
          <w:rFonts w:ascii="Times New Roman" w:hAnsi="Times New Roman"/>
          <w:b w:val="0"/>
          <w:i w:val="0"/>
          <w:sz w:val="19"/>
        </w:rPr>
        <w:t>88VIP at 59M members demonstrates Alibaba's high-value consumer relationships are deepening, not eroding — a key bull thesis datapoint.</w:t>
      </w:r>
    </w:p>
    <w:p>
      <w:pPr>
        <w:pStyle w:val="ListBullet"/>
        <w:spacing w:before="0" w:after="40"/>
      </w:pPr>
      <w:r>
        <w:rPr>
          <w:rFonts w:ascii="Times New Roman" w:hAnsi="Times New Roman"/>
          <w:b w:val="0"/>
          <w:i w:val="0"/>
          <w:sz w:val="19"/>
        </w:rPr>
        <w:t>Qwen at 300M MAU creates a consumer AI moat that could monetize directly (subscriptions) and indirectly (data flywheel for Cloud model training).</w:t>
      </w:r>
    </w:p>
    <w:p>
      <w:pPr>
        <w:pStyle w:val="ListBullet"/>
        <w:spacing w:before="0" w:after="40"/>
      </w:pPr>
      <w:r>
        <w:rPr>
          <w:rFonts w:ascii="Times New Roman" w:hAnsi="Times New Roman"/>
          <w:b w:val="0"/>
          <w:i w:val="0"/>
          <w:sz w:val="19"/>
        </w:rPr>
        <w:t>International commerce (AIDC) losses narrowing materially — Alibaba is shifting from loss-funding international expansion to a disciplined, quality-focused approach.</w:t>
      </w:r>
    </w:p>
    <w:p>
      <w:pPr>
        <w:pStyle w:val="ListBullet"/>
        <w:spacing w:before="0" w:after="40"/>
      </w:pPr>
      <w:r>
        <w:rPr>
          <w:rFonts w:ascii="Times New Roman" w:hAnsi="Times New Roman"/>
          <w:b w:val="0"/>
          <w:i w:val="0"/>
          <w:sz w:val="19"/>
        </w:rPr>
        <w:t>T-Head AI chip shipments (470K cumulative) reduce GPU procurement risk and should improve cloud AI economics over time.</w:t>
      </w:r>
    </w:p>
    <w:p/>
    <w:p>
      <w:pPr>
        <w:spacing w:before="0" w:after="80"/>
      </w:pPr>
      <w:r>
        <w:rPr>
          <w:rFonts w:ascii="Times New Roman" w:hAnsi="Times New Roman"/>
          <w:b w:val="0"/>
          <w:i w:val="0"/>
          <w:sz w:val="19"/>
        </w:rPr>
        <w:t>Areas of Caution:</w:t>
      </w:r>
    </w:p>
    <w:p>
      <w:pPr>
        <w:pStyle w:val="ListBullet"/>
        <w:spacing w:before="0" w:after="40"/>
      </w:pPr>
      <w:r>
        <w:rPr>
          <w:rFonts w:ascii="Times New Roman" w:hAnsi="Times New Roman"/>
          <w:b w:val="0"/>
          <w:i w:val="0"/>
          <w:sz w:val="19"/>
        </w:rPr>
        <w:t>Profitability compression (Adj. EBITA –57%, FCF –71%) is deeper and more protracted than initially expected; timeline for recovery into Q4 FY2026 remains unclear.</w:t>
      </w:r>
    </w:p>
    <w:p>
      <w:pPr>
        <w:pStyle w:val="ListBullet"/>
        <w:spacing w:before="0" w:after="40"/>
      </w:pPr>
      <w:r>
        <w:rPr>
          <w:rFonts w:ascii="Times New Roman" w:hAnsi="Times New Roman"/>
          <w:b w:val="0"/>
          <w:i w:val="0"/>
          <w:sz w:val="19"/>
        </w:rPr>
        <w:t>No formal guidance provided — management's deliberate opacity on investment levels creates uncertainty for investors modeling near-term earnings.</w:t>
      </w:r>
    </w:p>
    <w:p>
      <w:pPr>
        <w:pStyle w:val="ListBullet"/>
        <w:spacing w:before="0" w:after="40"/>
      </w:pPr>
      <w:r>
        <w:rPr>
          <w:rFonts w:ascii="Times New Roman" w:hAnsi="Times New Roman"/>
          <w:b w:val="0"/>
          <w:i w:val="0"/>
          <w:sz w:val="19"/>
        </w:rPr>
        <w:t>AIDC growth deceleration (from +32% to +3%) reflects execution challenges in Southeast Asia via Lazada; this remains a key watch item.</w:t>
      </w:r>
    </w:p>
    <w:p>
      <w:pPr>
        <w:pStyle w:val="ListBullet"/>
        <w:spacing w:before="0" w:after="40"/>
      </w:pPr>
      <w:r>
        <w:rPr>
          <w:rFonts w:ascii="Times New Roman" w:hAnsi="Times New Roman"/>
          <w:b w:val="0"/>
          <w:i w:val="0"/>
          <w:sz w:val="19"/>
        </w:rPr>
        <w:t>China macro remains soft — domestic consumer sentiment has not fully recovered, and the quick commerce buildout is a bet on sustained engagement.</w:t>
      </w:r>
    </w:p>
    <w:p>
      <w:pPr>
        <w:pStyle w:val="ListBullet"/>
        <w:spacing w:before="0" w:after="40"/>
      </w:pPr>
      <w:r>
        <w:rPr>
          <w:rFonts w:ascii="Times New Roman" w:hAnsi="Times New Roman"/>
          <w:b w:val="0"/>
          <w:i w:val="0"/>
          <w:sz w:val="19"/>
        </w:rPr>
        <w:t>Stock –5% post-earnings reinforces that the market is penalizing profitability misses regardless of strategic rationale.</w:t>
      </w:r>
    </w:p>
    <w:p/>
    <w:p>
      <w:pPr>
        <w:spacing w:before="200" w:after="80"/>
      </w:pPr>
      <w:r>
        <w:rPr>
          <w:rFonts w:ascii="Times New Roman" w:hAnsi="Times New Roman"/>
          <w:b/>
          <w:i w:val="0"/>
          <w:color w:val="FF6A00"/>
          <w:sz w:val="22"/>
        </w:rPr>
        <w:t>Key Catalysts to Watch</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984"/>
            <w:shd w:val="clear" w:color="auto" w:fill="1F2D5C"/>
            <w:vAlign w:val="center"/>
          </w:tcPr>
          <w:p>
            <w:pPr>
              <w:jc w:val="center"/>
            </w:pPr>
            <w:r>
              <w:rPr>
                <w:rFonts w:ascii="Times New Roman" w:hAnsi="Times New Roman"/>
                <w:b/>
                <w:i w:val="0"/>
                <w:color w:val="FFFFFF"/>
                <w:sz w:val="17"/>
              </w:rPr>
              <w:t>Catalyst</w:t>
            </w:r>
          </w:p>
        </w:tc>
        <w:tc>
          <w:tcPr>
            <w:tcW w:type="dxa" w:w="1417"/>
            <w:shd w:val="clear" w:color="auto" w:fill="1F2D5C"/>
            <w:vAlign w:val="center"/>
          </w:tcPr>
          <w:p>
            <w:pPr>
              <w:jc w:val="center"/>
            </w:pPr>
            <w:r>
              <w:rPr>
                <w:rFonts w:ascii="Times New Roman" w:hAnsi="Times New Roman"/>
                <w:b/>
                <w:i w:val="0"/>
                <w:color w:val="FFFFFF"/>
                <w:sz w:val="17"/>
              </w:rPr>
              <w:t>Timeline</w:t>
            </w:r>
          </w:p>
        </w:tc>
        <w:tc>
          <w:tcPr>
            <w:tcW w:type="dxa" w:w="2268"/>
            <w:shd w:val="clear" w:color="auto" w:fill="1F2D5C"/>
            <w:vAlign w:val="center"/>
          </w:tcPr>
          <w:p>
            <w:pPr>
              <w:jc w:val="center"/>
            </w:pPr>
            <w:r>
              <w:rPr>
                <w:rFonts w:ascii="Times New Roman" w:hAnsi="Times New Roman"/>
                <w:b/>
                <w:i w:val="0"/>
                <w:color w:val="FFFFFF"/>
                <w:sz w:val="17"/>
              </w:rPr>
              <w:t>Bull Case</w:t>
            </w:r>
          </w:p>
        </w:tc>
        <w:tc>
          <w:tcPr>
            <w:tcW w:type="dxa" w:w="2268"/>
            <w:shd w:val="clear" w:color="auto" w:fill="1F2D5C"/>
            <w:vAlign w:val="center"/>
          </w:tcPr>
          <w:p>
            <w:pPr>
              <w:jc w:val="center"/>
            </w:pPr>
            <w:r>
              <w:rPr>
                <w:rFonts w:ascii="Times New Roman" w:hAnsi="Times New Roman"/>
                <w:b/>
                <w:i w:val="0"/>
                <w:color w:val="FFFFFF"/>
                <w:sz w:val="17"/>
              </w:rPr>
              <w:t>Bear Case</w:t>
            </w:r>
          </w:p>
        </w:tc>
      </w:tr>
      <w:tr>
        <w:tc>
          <w:tcPr>
            <w:tcW w:type="dxa" w:w="1984"/>
            <w:vAlign w:val="center"/>
          </w:tcPr>
          <w:p>
            <w:pPr>
              <w:jc w:val="center"/>
            </w:pPr>
            <w:r>
              <w:rPr>
                <w:rFonts w:ascii="Times New Roman" w:hAnsi="Times New Roman"/>
                <w:b w:val="0"/>
                <w:i w:val="0"/>
                <w:sz w:val="17"/>
              </w:rPr>
              <w:t>Cloud growth rate trajectory</w:t>
            </w:r>
          </w:p>
        </w:tc>
        <w:tc>
          <w:tcPr>
            <w:tcW w:type="dxa" w:w="1417"/>
            <w:vAlign w:val="center"/>
          </w:tcPr>
          <w:p>
            <w:pPr>
              <w:jc w:val="center"/>
            </w:pPr>
            <w:r>
              <w:rPr>
                <w:rFonts w:ascii="Times New Roman" w:hAnsi="Times New Roman"/>
                <w:b w:val="0"/>
                <w:i w:val="0"/>
                <w:sz w:val="17"/>
              </w:rPr>
              <w:t>Q4 FY26 (May 2026)</w:t>
            </w:r>
          </w:p>
        </w:tc>
        <w:tc>
          <w:tcPr>
            <w:tcW w:type="dxa" w:w="2268"/>
            <w:vAlign w:val="center"/>
          </w:tcPr>
          <w:p>
            <w:pPr>
              <w:jc w:val="center"/>
            </w:pPr>
            <w:r>
              <w:rPr>
                <w:rFonts w:ascii="Times New Roman" w:hAnsi="Times New Roman"/>
                <w:b w:val="0"/>
                <w:i w:val="0"/>
                <w:sz w:val="17"/>
              </w:rPr>
              <w:t>Maintains 35%+ — AI enterprise adoption accelerates</w:t>
            </w:r>
          </w:p>
        </w:tc>
        <w:tc>
          <w:tcPr>
            <w:tcW w:type="dxa" w:w="2268"/>
            <w:vAlign w:val="center"/>
          </w:tcPr>
          <w:p>
            <w:pPr>
              <w:jc w:val="center"/>
            </w:pPr>
            <w:r>
              <w:rPr>
                <w:rFonts w:ascii="Times New Roman" w:hAnsi="Times New Roman"/>
                <w:b w:val="0"/>
                <w:i w:val="0"/>
                <w:sz w:val="17"/>
              </w:rPr>
              <w:t>+36% decelerates — AI spending cyclical pause</w:t>
            </w:r>
          </w:p>
        </w:tc>
      </w:tr>
      <w:tr>
        <w:tc>
          <w:tcPr>
            <w:tcW w:type="dxa" w:w="1984"/>
            <w:shd w:val="clear" w:color="auto" w:fill="F5F7FA"/>
            <w:vAlign w:val="center"/>
          </w:tcPr>
          <w:p>
            <w:pPr>
              <w:jc w:val="center"/>
            </w:pPr>
            <w:r>
              <w:rPr>
                <w:rFonts w:ascii="Times New Roman" w:hAnsi="Times New Roman"/>
                <w:b w:val="0"/>
                <w:i w:val="0"/>
                <w:sz w:val="17"/>
              </w:rPr>
              <w:t>Profitability recovery</w:t>
            </w:r>
          </w:p>
        </w:tc>
        <w:tc>
          <w:tcPr>
            <w:tcW w:type="dxa" w:w="1417"/>
            <w:shd w:val="clear" w:color="auto" w:fill="F5F7FA"/>
            <w:vAlign w:val="center"/>
          </w:tcPr>
          <w:p>
            <w:pPr>
              <w:jc w:val="center"/>
            </w:pPr>
            <w:r>
              <w:rPr>
                <w:rFonts w:ascii="Times New Roman" w:hAnsi="Times New Roman"/>
                <w:b w:val="0"/>
                <w:i w:val="0"/>
                <w:sz w:val="17"/>
              </w:rPr>
              <w:t>Q4 FY26–Q1 FY27</w:t>
            </w:r>
          </w:p>
        </w:tc>
        <w:tc>
          <w:tcPr>
            <w:tcW w:type="dxa" w:w="2268"/>
            <w:shd w:val="clear" w:color="auto" w:fill="F5F7FA"/>
            <w:vAlign w:val="center"/>
          </w:tcPr>
          <w:p>
            <w:pPr>
              <w:jc w:val="center"/>
            </w:pPr>
            <w:r>
              <w:rPr>
                <w:rFonts w:ascii="Times New Roman" w:hAnsi="Times New Roman"/>
                <w:b w:val="0"/>
                <w:i w:val="0"/>
                <w:sz w:val="17"/>
              </w:rPr>
              <w:t>Adj. EBITA rebounds to ¥35B+ as investments mature</w:t>
            </w:r>
          </w:p>
        </w:tc>
        <w:tc>
          <w:tcPr>
            <w:tcW w:type="dxa" w:w="2268"/>
            <w:shd w:val="clear" w:color="auto" w:fill="F5F7FA"/>
            <w:vAlign w:val="center"/>
          </w:tcPr>
          <w:p>
            <w:pPr>
              <w:jc w:val="center"/>
            </w:pPr>
            <w:r>
              <w:rPr>
                <w:rFonts w:ascii="Times New Roman" w:hAnsi="Times New Roman"/>
                <w:b w:val="0"/>
                <w:i w:val="0"/>
                <w:sz w:val="17"/>
              </w:rPr>
              <w:t>Investment cycle extends — EPS recovery delayed to FY2028</w:t>
            </w:r>
          </w:p>
        </w:tc>
      </w:tr>
      <w:tr>
        <w:tc>
          <w:tcPr>
            <w:tcW w:type="dxa" w:w="1984"/>
            <w:vAlign w:val="center"/>
          </w:tcPr>
          <w:p>
            <w:pPr>
              <w:jc w:val="center"/>
            </w:pPr>
            <w:r>
              <w:rPr>
                <w:rFonts w:ascii="Times New Roman" w:hAnsi="Times New Roman"/>
                <w:b w:val="0"/>
                <w:i w:val="0"/>
                <w:sz w:val="17"/>
              </w:rPr>
              <w:t>Qwen monetization</w:t>
            </w:r>
          </w:p>
        </w:tc>
        <w:tc>
          <w:tcPr>
            <w:tcW w:type="dxa" w:w="1417"/>
            <w:vAlign w:val="center"/>
          </w:tcPr>
          <w:p>
            <w:pPr>
              <w:jc w:val="center"/>
            </w:pPr>
            <w:r>
              <w:rPr>
                <w:rFonts w:ascii="Times New Roman" w:hAnsi="Times New Roman"/>
                <w:b w:val="0"/>
                <w:i w:val="0"/>
                <w:sz w:val="17"/>
              </w:rPr>
              <w:t>FY2027</w:t>
            </w:r>
          </w:p>
        </w:tc>
        <w:tc>
          <w:tcPr>
            <w:tcW w:type="dxa" w:w="2268"/>
            <w:vAlign w:val="center"/>
          </w:tcPr>
          <w:p>
            <w:pPr>
              <w:jc w:val="center"/>
            </w:pPr>
            <w:r>
              <w:rPr>
                <w:rFonts w:ascii="Times New Roman" w:hAnsi="Times New Roman"/>
                <w:b w:val="0"/>
                <w:i w:val="0"/>
                <w:sz w:val="17"/>
              </w:rPr>
              <w:t>Cloud premium tier / Qwen subscriptions drive new revenue</w:t>
            </w:r>
          </w:p>
        </w:tc>
        <w:tc>
          <w:tcPr>
            <w:tcW w:type="dxa" w:w="2268"/>
            <w:vAlign w:val="center"/>
          </w:tcPr>
          <w:p>
            <w:pPr>
              <w:jc w:val="center"/>
            </w:pPr>
            <w:r>
              <w:rPr>
                <w:rFonts w:ascii="Times New Roman" w:hAnsi="Times New Roman"/>
                <w:b w:val="0"/>
                <w:i w:val="0"/>
                <w:sz w:val="17"/>
              </w:rPr>
              <w:t>Qwen remains free; monetization path unclear</w:t>
            </w:r>
          </w:p>
        </w:tc>
      </w:tr>
      <w:tr>
        <w:tc>
          <w:tcPr>
            <w:tcW w:type="dxa" w:w="1984"/>
            <w:shd w:val="clear" w:color="auto" w:fill="F5F7FA"/>
            <w:vAlign w:val="center"/>
          </w:tcPr>
          <w:p>
            <w:pPr>
              <w:jc w:val="center"/>
            </w:pPr>
            <w:r>
              <w:rPr>
                <w:rFonts w:ascii="Times New Roman" w:hAnsi="Times New Roman"/>
                <w:b w:val="0"/>
                <w:i w:val="0"/>
                <w:sz w:val="17"/>
              </w:rPr>
              <w:t>AIDC turnaround (Lazada)</w:t>
            </w:r>
          </w:p>
        </w:tc>
        <w:tc>
          <w:tcPr>
            <w:tcW w:type="dxa" w:w="1417"/>
            <w:shd w:val="clear" w:color="auto" w:fill="F5F7FA"/>
            <w:vAlign w:val="center"/>
          </w:tcPr>
          <w:p>
            <w:pPr>
              <w:jc w:val="center"/>
            </w:pPr>
            <w:r>
              <w:rPr>
                <w:rFonts w:ascii="Times New Roman" w:hAnsi="Times New Roman"/>
                <w:b w:val="0"/>
                <w:i w:val="0"/>
                <w:sz w:val="17"/>
              </w:rPr>
              <w:t>H1 FY2027</w:t>
            </w:r>
          </w:p>
        </w:tc>
        <w:tc>
          <w:tcPr>
            <w:tcW w:type="dxa" w:w="2268"/>
            <w:shd w:val="clear" w:color="auto" w:fill="F5F7FA"/>
            <w:vAlign w:val="center"/>
          </w:tcPr>
          <w:p>
            <w:pPr>
              <w:jc w:val="center"/>
            </w:pPr>
            <w:r>
              <w:rPr>
                <w:rFonts w:ascii="Times New Roman" w:hAnsi="Times New Roman"/>
                <w:b w:val="0"/>
                <w:i w:val="0"/>
                <w:sz w:val="17"/>
              </w:rPr>
              <w:t>Lazada restructuring complete; AIDC growth re-accelerates to 15%+</w:t>
            </w:r>
          </w:p>
        </w:tc>
        <w:tc>
          <w:tcPr>
            <w:tcW w:type="dxa" w:w="2268"/>
            <w:shd w:val="clear" w:color="auto" w:fill="F5F7FA"/>
            <w:vAlign w:val="center"/>
          </w:tcPr>
          <w:p>
            <w:pPr>
              <w:jc w:val="center"/>
            </w:pPr>
            <w:r>
              <w:rPr>
                <w:rFonts w:ascii="Times New Roman" w:hAnsi="Times New Roman"/>
                <w:b w:val="0"/>
                <w:i w:val="0"/>
                <w:sz w:val="17"/>
              </w:rPr>
              <w:t>Lazada continues to drag; AIDC growth stays single-digit</w:t>
            </w:r>
          </w:p>
        </w:tc>
      </w:tr>
      <w:tr>
        <w:tc>
          <w:tcPr>
            <w:tcW w:type="dxa" w:w="1984"/>
            <w:vAlign w:val="center"/>
          </w:tcPr>
          <w:p>
            <w:pPr>
              <w:jc w:val="center"/>
            </w:pPr>
            <w:r>
              <w:rPr>
                <w:rFonts w:ascii="Times New Roman" w:hAnsi="Times New Roman"/>
                <w:b w:val="0"/>
                <w:i w:val="0"/>
                <w:sz w:val="17"/>
              </w:rPr>
              <w:t>China macro recovery</w:t>
            </w:r>
          </w:p>
        </w:tc>
        <w:tc>
          <w:tcPr>
            <w:tcW w:type="dxa" w:w="1417"/>
            <w:vAlign w:val="center"/>
          </w:tcPr>
          <w:p>
            <w:pPr>
              <w:jc w:val="center"/>
            </w:pPr>
            <w:r>
              <w:rPr>
                <w:rFonts w:ascii="Times New Roman" w:hAnsi="Times New Roman"/>
                <w:b w:val="0"/>
                <w:i w:val="0"/>
                <w:sz w:val="17"/>
              </w:rPr>
              <w:t>CY2026</w:t>
            </w:r>
          </w:p>
        </w:tc>
        <w:tc>
          <w:tcPr>
            <w:tcW w:type="dxa" w:w="2268"/>
            <w:vAlign w:val="center"/>
          </w:tcPr>
          <w:p>
            <w:pPr>
              <w:jc w:val="center"/>
            </w:pPr>
            <w:r>
              <w:rPr>
                <w:rFonts w:ascii="Times New Roman" w:hAnsi="Times New Roman"/>
                <w:b w:val="0"/>
                <w:i w:val="0"/>
                <w:sz w:val="17"/>
              </w:rPr>
              <w:t>Consumer spending recovery lifts GMV and merchant advertising</w:t>
            </w:r>
          </w:p>
        </w:tc>
        <w:tc>
          <w:tcPr>
            <w:tcW w:type="dxa" w:w="2268"/>
            <w:vAlign w:val="center"/>
          </w:tcPr>
          <w:p>
            <w:pPr>
              <w:jc w:val="center"/>
            </w:pPr>
            <w:r>
              <w:rPr>
                <w:rFonts w:ascii="Times New Roman" w:hAnsi="Times New Roman"/>
                <w:b w:val="0"/>
                <w:i w:val="0"/>
                <w:sz w:val="17"/>
              </w:rPr>
              <w:t>Prolonged China slowdown; quick commerce fails to scale profitably</w:t>
            </w:r>
          </w:p>
        </w:tc>
      </w:tr>
      <w:tr>
        <w:tc>
          <w:tcPr>
            <w:tcW w:type="dxa" w:w="1984"/>
            <w:shd w:val="clear" w:color="auto" w:fill="F5F7FA"/>
            <w:vAlign w:val="center"/>
          </w:tcPr>
          <w:p>
            <w:pPr>
              <w:jc w:val="center"/>
            </w:pPr>
            <w:r>
              <w:rPr>
                <w:rFonts w:ascii="Times New Roman" w:hAnsi="Times New Roman"/>
                <w:b w:val="0"/>
                <w:i w:val="0"/>
                <w:sz w:val="17"/>
              </w:rPr>
              <w:t>Regulatory / geopolitical</w:t>
            </w:r>
          </w:p>
        </w:tc>
        <w:tc>
          <w:tcPr>
            <w:tcW w:type="dxa" w:w="1417"/>
            <w:shd w:val="clear" w:color="auto" w:fill="F5F7FA"/>
            <w:vAlign w:val="center"/>
          </w:tcPr>
          <w:p>
            <w:pPr>
              <w:jc w:val="center"/>
            </w:pPr>
            <w:r>
              <w:rPr>
                <w:rFonts w:ascii="Times New Roman" w:hAnsi="Times New Roman"/>
                <w:b w:val="0"/>
                <w:i w:val="0"/>
                <w:sz w:val="17"/>
              </w:rPr>
              <w:t>Ongoing</w:t>
            </w:r>
          </w:p>
        </w:tc>
        <w:tc>
          <w:tcPr>
            <w:tcW w:type="dxa" w:w="2268"/>
            <w:shd w:val="clear" w:color="auto" w:fill="F5F7FA"/>
            <w:vAlign w:val="center"/>
          </w:tcPr>
          <w:p>
            <w:pPr>
              <w:jc w:val="center"/>
            </w:pPr>
            <w:r>
              <w:rPr>
                <w:rFonts w:ascii="Times New Roman" w:hAnsi="Times New Roman"/>
                <w:b w:val="0"/>
                <w:i w:val="0"/>
                <w:sz w:val="17"/>
              </w:rPr>
              <w:t>No incremental regulatory headwinds</w:t>
            </w:r>
          </w:p>
        </w:tc>
        <w:tc>
          <w:tcPr>
            <w:tcW w:type="dxa" w:w="2268"/>
            <w:shd w:val="clear" w:color="auto" w:fill="F5F7FA"/>
            <w:vAlign w:val="center"/>
          </w:tcPr>
          <w:p>
            <w:pPr>
              <w:jc w:val="center"/>
            </w:pPr>
            <w:r>
              <w:rPr>
                <w:rFonts w:ascii="Times New Roman" w:hAnsi="Times New Roman"/>
                <w:b w:val="0"/>
                <w:i w:val="0"/>
                <w:sz w:val="17"/>
              </w:rPr>
              <w:t>US-China tech restrictions impact cloud enterprise deals</w:t>
            </w:r>
          </w:p>
        </w:tc>
      </w:tr>
    </w:tbl>
    <w:p>
      <w:r>
        <w:br w:type="page"/>
      </w:r>
    </w:p>
    <w:p>
      <w:pPr>
        <w:spacing w:before="200" w:after="80"/>
      </w:pPr>
      <w:r>
        <w:rPr>
          <w:rFonts w:ascii="Times New Roman" w:hAnsi="Times New Roman"/>
          <w:b/>
          <w:i w:val="0"/>
          <w:color w:val="1F2D5C"/>
          <w:sz w:val="26"/>
        </w:rPr>
        <w:t>VALUATION &amp; UPDATED ESTIMATES</w:t>
      </w:r>
    </w:p>
    <w:p>
      <w:pPr>
        <w:spacing w:before="200" w:after="80"/>
      </w:pPr>
      <w:r>
        <w:rPr>
          <w:rFonts w:ascii="Times New Roman" w:hAnsi="Times New Roman"/>
          <w:b/>
          <w:i w:val="0"/>
          <w:color w:val="FF6A00"/>
          <w:sz w:val="22"/>
        </w:rPr>
        <w:t>Valuation Framework — Sum-of-the-Parts</w:t>
      </w:r>
    </w:p>
    <w:p>
      <w:pPr>
        <w:spacing w:before="0" w:after="80"/>
      </w:pPr>
      <w:r>
        <w:rPr>
          <w:rFonts w:ascii="Times New Roman" w:hAnsi="Times New Roman"/>
          <w:b w:val="0"/>
          <w:i w:val="0"/>
          <w:sz w:val="19"/>
        </w:rPr>
        <w:t>Alibaba's multi-segment structure warrants a sum-of-the-parts (SOTP) valuation approach. We apply differentiated multiples to each segment reflecting their growth profiles and comparable peer valuations. Cloud Intelligence is valued on a revenue multiple consistent with high-growth cloud peers; China Commerce on earnings/EBITA; International Commerce at a discount given profitability drag.</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2154"/>
            <w:shd w:val="clear" w:color="auto" w:fill="1F2D5C"/>
            <w:vAlign w:val="center"/>
          </w:tcPr>
          <w:p>
            <w:pPr>
              <w:jc w:val="center"/>
            </w:pPr>
            <w:r>
              <w:rPr>
                <w:rFonts w:ascii="Times New Roman" w:hAnsi="Times New Roman"/>
                <w:b/>
                <w:i w:val="0"/>
                <w:color w:val="FFFFFF"/>
                <w:sz w:val="17"/>
              </w:rPr>
              <w:t>Segment</w:t>
            </w:r>
          </w:p>
        </w:tc>
        <w:tc>
          <w:tcPr>
            <w:tcW w:type="dxa" w:w="1587"/>
            <w:shd w:val="clear" w:color="auto" w:fill="1F2D5C"/>
            <w:vAlign w:val="center"/>
          </w:tcPr>
          <w:p>
            <w:pPr>
              <w:jc w:val="center"/>
            </w:pPr>
            <w:r>
              <w:rPr>
                <w:rFonts w:ascii="Times New Roman" w:hAnsi="Times New Roman"/>
                <w:b/>
                <w:i w:val="0"/>
                <w:color w:val="FFFFFF"/>
                <w:sz w:val="17"/>
              </w:rPr>
              <w:t>Metric</w:t>
            </w:r>
          </w:p>
        </w:tc>
        <w:tc>
          <w:tcPr>
            <w:tcW w:type="dxa" w:w="1587"/>
            <w:shd w:val="clear" w:color="auto" w:fill="1F2D5C"/>
            <w:vAlign w:val="center"/>
          </w:tcPr>
          <w:p>
            <w:pPr>
              <w:jc w:val="center"/>
            </w:pPr>
            <w:r>
              <w:rPr>
                <w:rFonts w:ascii="Times New Roman" w:hAnsi="Times New Roman"/>
                <w:b/>
                <w:i w:val="0"/>
                <w:color w:val="FFFFFF"/>
                <w:sz w:val="17"/>
              </w:rPr>
              <w:t>FY27E Value</w:t>
            </w:r>
          </w:p>
        </w:tc>
        <w:tc>
          <w:tcPr>
            <w:tcW w:type="dxa" w:w="1417"/>
            <w:shd w:val="clear" w:color="auto" w:fill="1F2D5C"/>
            <w:vAlign w:val="center"/>
          </w:tcPr>
          <w:p>
            <w:pPr>
              <w:jc w:val="center"/>
            </w:pPr>
            <w:r>
              <w:rPr>
                <w:rFonts w:ascii="Times New Roman" w:hAnsi="Times New Roman"/>
                <w:b/>
                <w:i w:val="0"/>
                <w:color w:val="FFFFFF"/>
                <w:sz w:val="17"/>
              </w:rPr>
              <w:t>Multiple</w:t>
            </w:r>
          </w:p>
        </w:tc>
        <w:tc>
          <w:tcPr>
            <w:tcW w:type="dxa" w:w="1701"/>
            <w:shd w:val="clear" w:color="auto" w:fill="1F2D5C"/>
            <w:vAlign w:val="center"/>
          </w:tcPr>
          <w:p>
            <w:pPr>
              <w:jc w:val="center"/>
            </w:pPr>
            <w:r>
              <w:rPr>
                <w:rFonts w:ascii="Times New Roman" w:hAnsi="Times New Roman"/>
                <w:b/>
                <w:i w:val="0"/>
                <w:color w:val="FFFFFF"/>
                <w:sz w:val="17"/>
              </w:rPr>
              <w:t>Segment Value</w:t>
            </w:r>
          </w:p>
        </w:tc>
      </w:tr>
      <w:tr>
        <w:tc>
          <w:tcPr>
            <w:tcW w:type="dxa" w:w="2154"/>
            <w:vAlign w:val="center"/>
          </w:tcPr>
          <w:p>
            <w:pPr>
              <w:jc w:val="center"/>
            </w:pPr>
            <w:r>
              <w:rPr>
                <w:rFonts w:ascii="Times New Roman" w:hAnsi="Times New Roman"/>
                <w:b w:val="0"/>
                <w:i w:val="0"/>
                <w:sz w:val="17"/>
              </w:rPr>
              <w:t>Cloud Intelligence Group</w:t>
            </w:r>
          </w:p>
        </w:tc>
        <w:tc>
          <w:tcPr>
            <w:tcW w:type="dxa" w:w="1587"/>
            <w:vAlign w:val="center"/>
          </w:tcPr>
          <w:p>
            <w:pPr>
              <w:jc w:val="center"/>
            </w:pPr>
            <w:r>
              <w:rPr>
                <w:rFonts w:ascii="Times New Roman" w:hAnsi="Times New Roman"/>
                <w:b w:val="0"/>
                <w:i w:val="0"/>
                <w:sz w:val="17"/>
              </w:rPr>
              <w:t>FY27E Rev: ~¥210B</w:t>
            </w:r>
          </w:p>
        </w:tc>
        <w:tc>
          <w:tcPr>
            <w:tcW w:type="dxa" w:w="1587"/>
            <w:vAlign w:val="center"/>
          </w:tcPr>
          <w:p>
            <w:pPr>
              <w:jc w:val="center"/>
            </w:pPr>
            <w:r>
              <w:rPr>
                <w:rFonts w:ascii="Times New Roman" w:hAnsi="Times New Roman"/>
                <w:b w:val="0"/>
                <w:i w:val="0"/>
                <w:sz w:val="17"/>
              </w:rPr>
              <w:t>¥210B</w:t>
            </w:r>
          </w:p>
        </w:tc>
        <w:tc>
          <w:tcPr>
            <w:tcW w:type="dxa" w:w="1417"/>
            <w:vAlign w:val="center"/>
          </w:tcPr>
          <w:p>
            <w:pPr>
              <w:jc w:val="center"/>
            </w:pPr>
            <w:r>
              <w:rPr>
                <w:rFonts w:ascii="Times New Roman" w:hAnsi="Times New Roman"/>
                <w:b w:val="0"/>
                <w:i w:val="0"/>
                <w:sz w:val="17"/>
              </w:rPr>
              <w:t>6.0x Rev</w:t>
            </w:r>
          </w:p>
        </w:tc>
        <w:tc>
          <w:tcPr>
            <w:tcW w:type="dxa" w:w="1701"/>
            <w:vAlign w:val="center"/>
          </w:tcPr>
          <w:p>
            <w:pPr>
              <w:jc w:val="center"/>
            </w:pPr>
            <w:r>
              <w:rPr>
                <w:rFonts w:ascii="Times New Roman" w:hAnsi="Times New Roman"/>
                <w:b w:val="0"/>
                <w:i w:val="0"/>
                <w:sz w:val="17"/>
              </w:rPr>
              <w:t>~¥1,260B ($180B)</w:t>
            </w:r>
          </w:p>
        </w:tc>
      </w:tr>
      <w:tr>
        <w:tc>
          <w:tcPr>
            <w:tcW w:type="dxa" w:w="2154"/>
            <w:shd w:val="clear" w:color="auto" w:fill="F5F7FA"/>
            <w:vAlign w:val="center"/>
          </w:tcPr>
          <w:p>
            <w:pPr>
              <w:jc w:val="center"/>
            </w:pPr>
            <w:r>
              <w:rPr>
                <w:rFonts w:ascii="Times New Roman" w:hAnsi="Times New Roman"/>
                <w:b w:val="0"/>
                <w:i w:val="0"/>
                <w:sz w:val="17"/>
              </w:rPr>
              <w:t>China Core Commerce (T&amp;T)</w:t>
            </w:r>
          </w:p>
        </w:tc>
        <w:tc>
          <w:tcPr>
            <w:tcW w:type="dxa" w:w="1587"/>
            <w:shd w:val="clear" w:color="auto" w:fill="F5F7FA"/>
            <w:vAlign w:val="center"/>
          </w:tcPr>
          <w:p>
            <w:pPr>
              <w:jc w:val="center"/>
            </w:pPr>
            <w:r>
              <w:rPr>
                <w:rFonts w:ascii="Times New Roman" w:hAnsi="Times New Roman"/>
                <w:b w:val="0"/>
                <w:i w:val="0"/>
                <w:sz w:val="17"/>
              </w:rPr>
              <w:t>FY27E Adj. EBITA: ~¥180B</w:t>
            </w:r>
          </w:p>
        </w:tc>
        <w:tc>
          <w:tcPr>
            <w:tcW w:type="dxa" w:w="1587"/>
            <w:shd w:val="clear" w:color="auto" w:fill="F5F7FA"/>
            <w:vAlign w:val="center"/>
          </w:tcPr>
          <w:p>
            <w:pPr>
              <w:jc w:val="center"/>
            </w:pPr>
            <w:r>
              <w:rPr>
                <w:rFonts w:ascii="Times New Roman" w:hAnsi="Times New Roman"/>
                <w:b w:val="0"/>
                <w:i w:val="0"/>
                <w:sz w:val="17"/>
              </w:rPr>
              <w:t>¥180B</w:t>
            </w:r>
          </w:p>
        </w:tc>
        <w:tc>
          <w:tcPr>
            <w:tcW w:type="dxa" w:w="1417"/>
            <w:shd w:val="clear" w:color="auto" w:fill="F5F7FA"/>
            <w:vAlign w:val="center"/>
          </w:tcPr>
          <w:p>
            <w:pPr>
              <w:jc w:val="center"/>
            </w:pPr>
            <w:r>
              <w:rPr>
                <w:rFonts w:ascii="Times New Roman" w:hAnsi="Times New Roman"/>
                <w:b w:val="0"/>
                <w:i w:val="0"/>
                <w:sz w:val="17"/>
              </w:rPr>
              <w:t>10x EBITA</w:t>
            </w:r>
          </w:p>
        </w:tc>
        <w:tc>
          <w:tcPr>
            <w:tcW w:type="dxa" w:w="1701"/>
            <w:shd w:val="clear" w:color="auto" w:fill="F5F7FA"/>
            <w:vAlign w:val="center"/>
          </w:tcPr>
          <w:p>
            <w:pPr>
              <w:jc w:val="center"/>
            </w:pPr>
            <w:r>
              <w:rPr>
                <w:rFonts w:ascii="Times New Roman" w:hAnsi="Times New Roman"/>
                <w:b w:val="0"/>
                <w:i w:val="0"/>
                <w:sz w:val="17"/>
              </w:rPr>
              <w:t>~¥1,800B ($257B)</w:t>
            </w:r>
          </w:p>
        </w:tc>
      </w:tr>
      <w:tr>
        <w:tc>
          <w:tcPr>
            <w:tcW w:type="dxa" w:w="2154"/>
            <w:vAlign w:val="center"/>
          </w:tcPr>
          <w:p>
            <w:pPr>
              <w:jc w:val="center"/>
            </w:pPr>
            <w:r>
              <w:rPr>
                <w:rFonts w:ascii="Times New Roman" w:hAnsi="Times New Roman"/>
                <w:b w:val="0"/>
                <w:i w:val="0"/>
                <w:sz w:val="17"/>
              </w:rPr>
              <w:t>International Commerce (AIDC)</w:t>
            </w:r>
          </w:p>
        </w:tc>
        <w:tc>
          <w:tcPr>
            <w:tcW w:type="dxa" w:w="1587"/>
            <w:vAlign w:val="center"/>
          </w:tcPr>
          <w:p>
            <w:pPr>
              <w:jc w:val="center"/>
            </w:pPr>
            <w:r>
              <w:rPr>
                <w:rFonts w:ascii="Times New Roman" w:hAnsi="Times New Roman"/>
                <w:b w:val="0"/>
                <w:i w:val="0"/>
                <w:sz w:val="17"/>
              </w:rPr>
              <w:t>FY27E Rev: ~¥155B</w:t>
            </w:r>
          </w:p>
        </w:tc>
        <w:tc>
          <w:tcPr>
            <w:tcW w:type="dxa" w:w="1587"/>
            <w:vAlign w:val="center"/>
          </w:tcPr>
          <w:p>
            <w:pPr>
              <w:jc w:val="center"/>
            </w:pPr>
            <w:r>
              <w:rPr>
                <w:rFonts w:ascii="Times New Roman" w:hAnsi="Times New Roman"/>
                <w:b w:val="0"/>
                <w:i w:val="0"/>
                <w:sz w:val="17"/>
              </w:rPr>
              <w:t>¥155B</w:t>
            </w:r>
          </w:p>
        </w:tc>
        <w:tc>
          <w:tcPr>
            <w:tcW w:type="dxa" w:w="1417"/>
            <w:vAlign w:val="center"/>
          </w:tcPr>
          <w:p>
            <w:pPr>
              <w:jc w:val="center"/>
            </w:pPr>
            <w:r>
              <w:rPr>
                <w:rFonts w:ascii="Times New Roman" w:hAnsi="Times New Roman"/>
                <w:b w:val="0"/>
                <w:i w:val="0"/>
                <w:sz w:val="17"/>
              </w:rPr>
              <w:t>2.0x Rev</w:t>
            </w:r>
          </w:p>
        </w:tc>
        <w:tc>
          <w:tcPr>
            <w:tcW w:type="dxa" w:w="1701"/>
            <w:vAlign w:val="center"/>
          </w:tcPr>
          <w:p>
            <w:pPr>
              <w:jc w:val="center"/>
            </w:pPr>
            <w:r>
              <w:rPr>
                <w:rFonts w:ascii="Times New Roman" w:hAnsi="Times New Roman"/>
                <w:b w:val="0"/>
                <w:i w:val="0"/>
                <w:sz w:val="17"/>
              </w:rPr>
              <w:t>~¥310B ($44B)</w:t>
            </w:r>
          </w:p>
        </w:tc>
      </w:tr>
      <w:tr>
        <w:tc>
          <w:tcPr>
            <w:tcW w:type="dxa" w:w="2154"/>
            <w:shd w:val="clear" w:color="auto" w:fill="F5F7FA"/>
            <w:vAlign w:val="center"/>
          </w:tcPr>
          <w:p>
            <w:pPr>
              <w:jc w:val="center"/>
            </w:pPr>
            <w:r>
              <w:rPr>
                <w:rFonts w:ascii="Times New Roman" w:hAnsi="Times New Roman"/>
                <w:b w:val="0"/>
                <w:i w:val="0"/>
                <w:sz w:val="17"/>
              </w:rPr>
              <w:t>Quick Commerce (Taobao Instant)</w:t>
            </w:r>
          </w:p>
        </w:tc>
        <w:tc>
          <w:tcPr>
            <w:tcW w:type="dxa" w:w="1587"/>
            <w:shd w:val="clear" w:color="auto" w:fill="F5F7FA"/>
            <w:vAlign w:val="center"/>
          </w:tcPr>
          <w:p>
            <w:pPr>
              <w:jc w:val="center"/>
            </w:pPr>
            <w:r>
              <w:rPr>
                <w:rFonts w:ascii="Times New Roman" w:hAnsi="Times New Roman"/>
                <w:b w:val="0"/>
                <w:i w:val="0"/>
                <w:sz w:val="17"/>
              </w:rPr>
              <w:t>Growth option</w:t>
            </w:r>
          </w:p>
        </w:tc>
        <w:tc>
          <w:tcPr>
            <w:tcW w:type="dxa" w:w="1587"/>
            <w:shd w:val="clear" w:color="auto" w:fill="F5F7FA"/>
            <w:vAlign w:val="center"/>
          </w:tcPr>
          <w:p>
            <w:pPr>
              <w:jc w:val="center"/>
            </w:pPr>
            <w:r>
              <w:rPr>
                <w:rFonts w:ascii="Times New Roman" w:hAnsi="Times New Roman"/>
                <w:b w:val="0"/>
                <w:i w:val="0"/>
                <w:sz w:val="17"/>
              </w:rPr>
              <w:t>–</w:t>
            </w:r>
          </w:p>
        </w:tc>
        <w:tc>
          <w:tcPr>
            <w:tcW w:type="dxa" w:w="1417"/>
            <w:shd w:val="clear" w:color="auto" w:fill="F5F7FA"/>
            <w:vAlign w:val="center"/>
          </w:tcPr>
          <w:p>
            <w:pPr>
              <w:jc w:val="center"/>
            </w:pPr>
            <w:r>
              <w:rPr>
                <w:rFonts w:ascii="Times New Roman" w:hAnsi="Times New Roman"/>
                <w:b w:val="0"/>
                <w:i w:val="0"/>
                <w:sz w:val="17"/>
              </w:rPr>
              <w:t>Option value</w:t>
            </w:r>
          </w:p>
        </w:tc>
        <w:tc>
          <w:tcPr>
            <w:tcW w:type="dxa" w:w="1701"/>
            <w:shd w:val="clear" w:color="auto" w:fill="F5F7FA"/>
            <w:vAlign w:val="center"/>
          </w:tcPr>
          <w:p>
            <w:pPr>
              <w:jc w:val="center"/>
            </w:pPr>
            <w:r>
              <w:rPr>
                <w:rFonts w:ascii="Times New Roman" w:hAnsi="Times New Roman"/>
                <w:b w:val="0"/>
                <w:i w:val="0"/>
                <w:sz w:val="17"/>
              </w:rPr>
              <w:t>~¥70B ($10B)</w:t>
            </w:r>
          </w:p>
        </w:tc>
      </w:tr>
      <w:tr>
        <w:tc>
          <w:tcPr>
            <w:tcW w:type="dxa" w:w="2154"/>
            <w:vAlign w:val="center"/>
          </w:tcPr>
          <w:p>
            <w:pPr>
              <w:jc w:val="center"/>
            </w:pPr>
            <w:r>
              <w:rPr>
                <w:rFonts w:ascii="Times New Roman" w:hAnsi="Times New Roman"/>
                <w:b w:val="0"/>
                <w:i w:val="0"/>
                <w:sz w:val="17"/>
              </w:rPr>
              <w:t>Cainiao / Media / Other</w:t>
            </w:r>
          </w:p>
        </w:tc>
        <w:tc>
          <w:tcPr>
            <w:tcW w:type="dxa" w:w="1587"/>
            <w:vAlign w:val="center"/>
          </w:tcPr>
          <w:p>
            <w:pPr>
              <w:jc w:val="center"/>
            </w:pPr>
            <w:r>
              <w:rPr>
                <w:rFonts w:ascii="Times New Roman" w:hAnsi="Times New Roman"/>
                <w:b w:val="0"/>
                <w:i w:val="0"/>
                <w:sz w:val="17"/>
              </w:rPr>
              <w:t>FY27E Rev: ~¥280B</w:t>
            </w:r>
          </w:p>
        </w:tc>
        <w:tc>
          <w:tcPr>
            <w:tcW w:type="dxa" w:w="1587"/>
            <w:vAlign w:val="center"/>
          </w:tcPr>
          <w:p>
            <w:pPr>
              <w:jc w:val="center"/>
            </w:pPr>
            <w:r>
              <w:rPr>
                <w:rFonts w:ascii="Times New Roman" w:hAnsi="Times New Roman"/>
                <w:b w:val="0"/>
                <w:i w:val="0"/>
                <w:sz w:val="17"/>
              </w:rPr>
              <w:t>¥280B</w:t>
            </w:r>
          </w:p>
        </w:tc>
        <w:tc>
          <w:tcPr>
            <w:tcW w:type="dxa" w:w="1417"/>
            <w:vAlign w:val="center"/>
          </w:tcPr>
          <w:p>
            <w:pPr>
              <w:jc w:val="center"/>
            </w:pPr>
            <w:r>
              <w:rPr>
                <w:rFonts w:ascii="Times New Roman" w:hAnsi="Times New Roman"/>
                <w:b w:val="0"/>
                <w:i w:val="0"/>
                <w:sz w:val="17"/>
              </w:rPr>
              <w:t>0.5x Rev</w:t>
            </w:r>
          </w:p>
        </w:tc>
        <w:tc>
          <w:tcPr>
            <w:tcW w:type="dxa" w:w="1701"/>
            <w:vAlign w:val="center"/>
          </w:tcPr>
          <w:p>
            <w:pPr>
              <w:jc w:val="center"/>
            </w:pPr>
            <w:r>
              <w:rPr>
                <w:rFonts w:ascii="Times New Roman" w:hAnsi="Times New Roman"/>
                <w:b w:val="0"/>
                <w:i w:val="0"/>
                <w:sz w:val="17"/>
              </w:rPr>
              <w:t>~¥140B ($20B)</w:t>
            </w:r>
          </w:p>
        </w:tc>
      </w:tr>
      <w:tr>
        <w:tc>
          <w:tcPr>
            <w:tcW w:type="dxa" w:w="2154"/>
            <w:shd w:val="clear" w:color="auto" w:fill="F5F7FA"/>
            <w:vAlign w:val="center"/>
          </w:tcPr>
          <w:p>
            <w:pPr>
              <w:jc w:val="center"/>
            </w:pPr>
            <w:r>
              <w:rPr>
                <w:rFonts w:ascii="Times New Roman" w:hAnsi="Times New Roman"/>
                <w:b w:val="0"/>
                <w:i w:val="0"/>
                <w:sz w:val="17"/>
              </w:rPr>
              <w:t>Investments / Net Cash</w:t>
            </w:r>
          </w:p>
        </w:tc>
        <w:tc>
          <w:tcPr>
            <w:tcW w:type="dxa" w:w="1587"/>
            <w:shd w:val="clear" w:color="auto" w:fill="F5F7FA"/>
            <w:vAlign w:val="center"/>
          </w:tcPr>
          <w:p>
            <w:pPr>
              <w:jc w:val="center"/>
            </w:pPr>
            <w:r>
              <w:rPr>
                <w:rFonts w:ascii="Times New Roman" w:hAnsi="Times New Roman"/>
                <w:b w:val="0"/>
                <w:i w:val="0"/>
                <w:sz w:val="17"/>
              </w:rPr>
              <w:t>Net cash + investments</w:t>
            </w:r>
          </w:p>
        </w:tc>
        <w:tc>
          <w:tcPr>
            <w:tcW w:type="dxa" w:w="1587"/>
            <w:shd w:val="clear" w:color="auto" w:fill="F5F7FA"/>
            <w:vAlign w:val="center"/>
          </w:tcPr>
          <w:p>
            <w:pPr>
              <w:jc w:val="center"/>
            </w:pPr>
            <w:r>
              <w:rPr>
                <w:rFonts w:ascii="Times New Roman" w:hAnsi="Times New Roman"/>
                <w:b w:val="0"/>
                <w:i w:val="0"/>
                <w:sz w:val="17"/>
              </w:rPr>
              <w:t>~¥500B</w:t>
            </w:r>
          </w:p>
        </w:tc>
        <w:tc>
          <w:tcPr>
            <w:tcW w:type="dxa" w:w="1417"/>
            <w:shd w:val="clear" w:color="auto" w:fill="F5F7FA"/>
            <w:vAlign w:val="center"/>
          </w:tcPr>
          <w:p>
            <w:pPr>
              <w:jc w:val="center"/>
            </w:pPr>
            <w:r>
              <w:rPr>
                <w:rFonts w:ascii="Times New Roman" w:hAnsi="Times New Roman"/>
                <w:b w:val="0"/>
                <w:i w:val="0"/>
                <w:sz w:val="17"/>
              </w:rPr>
              <w:t>1.0x</w:t>
            </w:r>
          </w:p>
        </w:tc>
        <w:tc>
          <w:tcPr>
            <w:tcW w:type="dxa" w:w="1701"/>
            <w:shd w:val="clear" w:color="auto" w:fill="F5F7FA"/>
            <w:vAlign w:val="center"/>
          </w:tcPr>
          <w:p>
            <w:pPr>
              <w:jc w:val="center"/>
            </w:pPr>
            <w:r>
              <w:rPr>
                <w:rFonts w:ascii="Times New Roman" w:hAnsi="Times New Roman"/>
                <w:b w:val="0"/>
                <w:i w:val="0"/>
                <w:sz w:val="17"/>
              </w:rPr>
              <w:t>~¥500B ($71B)</w:t>
            </w:r>
          </w:p>
        </w:tc>
      </w:tr>
      <w:tr>
        <w:tc>
          <w:tcPr>
            <w:tcW w:type="dxa" w:w="2154"/>
            <w:vAlign w:val="center"/>
          </w:tcPr>
          <w:p>
            <w:pPr>
              <w:jc w:val="center"/>
            </w:pPr>
            <w:r>
              <w:rPr>
                <w:rFonts w:ascii="Times New Roman" w:hAnsi="Times New Roman"/>
                <w:b w:val="0"/>
                <w:i w:val="0"/>
                <w:sz w:val="17"/>
              </w:rPr>
              <w:t>Total Enterprise Value</w:t>
            </w:r>
          </w:p>
        </w:tc>
        <w:tc>
          <w:tcPr>
            <w:tcW w:type="dxa" w:w="1587"/>
            <w:vAlign w:val="center"/>
          </w:tcPr>
          <w:p>
            <w:pPr>
              <w:jc w:val="center"/>
            </w:pPr>
            <w:r>
              <w:rPr>
                <w:rFonts w:ascii="Times New Roman" w:hAnsi="Times New Roman"/>
                <w:b w:val="0"/>
                <w:i w:val="0"/>
                <w:sz w:val="17"/>
              </w:rPr>
            </w:r>
          </w:p>
        </w:tc>
        <w:tc>
          <w:tcPr>
            <w:tcW w:type="dxa" w:w="1587"/>
            <w:vAlign w:val="center"/>
          </w:tcPr>
          <w:p>
            <w:pPr>
              <w:jc w:val="center"/>
            </w:pPr>
            <w:r>
              <w:rPr>
                <w:rFonts w:ascii="Times New Roman" w:hAnsi="Times New Roman"/>
                <w:b w:val="0"/>
                <w:i w:val="0"/>
                <w:sz w:val="17"/>
              </w:rPr>
            </w:r>
          </w:p>
        </w:tc>
        <w:tc>
          <w:tcPr>
            <w:tcW w:type="dxa" w:w="1417"/>
            <w:vAlign w:val="center"/>
          </w:tcPr>
          <w:p>
            <w:pPr>
              <w:jc w:val="center"/>
            </w:pPr>
            <w:r>
              <w:rPr>
                <w:rFonts w:ascii="Times New Roman" w:hAnsi="Times New Roman"/>
                <w:b w:val="0"/>
                <w:i w:val="0"/>
                <w:sz w:val="17"/>
              </w:rPr>
            </w:r>
          </w:p>
        </w:tc>
        <w:tc>
          <w:tcPr>
            <w:tcW w:type="dxa" w:w="1701"/>
            <w:vAlign w:val="center"/>
          </w:tcPr>
          <w:p>
            <w:pPr>
              <w:jc w:val="center"/>
            </w:pPr>
            <w:r>
              <w:rPr>
                <w:rFonts w:ascii="Times New Roman" w:hAnsi="Times New Roman"/>
                <w:b w:val="0"/>
                <w:i w:val="0"/>
                <w:sz w:val="17"/>
              </w:rPr>
              <w:t>~¥4,080B ($583B)</w:t>
            </w:r>
          </w:p>
        </w:tc>
      </w:tr>
      <w:tr>
        <w:tc>
          <w:tcPr>
            <w:tcW w:type="dxa" w:w="2154"/>
            <w:shd w:val="clear" w:color="auto" w:fill="F5F7FA"/>
            <w:vAlign w:val="center"/>
          </w:tcPr>
          <w:p>
            <w:pPr>
              <w:jc w:val="center"/>
            </w:pPr>
            <w:r>
              <w:rPr>
                <w:rFonts w:ascii="Times New Roman" w:hAnsi="Times New Roman"/>
                <w:b w:val="0"/>
                <w:i w:val="0"/>
                <w:sz w:val="17"/>
              </w:rPr>
              <w:t>Implied Price per ADS</w:t>
            </w:r>
          </w:p>
        </w:tc>
        <w:tc>
          <w:tcPr>
            <w:tcW w:type="dxa" w:w="1587"/>
            <w:shd w:val="clear" w:color="auto" w:fill="F5F7FA"/>
            <w:vAlign w:val="center"/>
          </w:tcPr>
          <w:p>
            <w:pPr>
              <w:jc w:val="center"/>
            </w:pPr>
            <w:r>
              <w:rPr>
                <w:rFonts w:ascii="Times New Roman" w:hAnsi="Times New Roman"/>
                <w:b w:val="0"/>
                <w:i w:val="0"/>
                <w:sz w:val="17"/>
              </w:rPr>
            </w:r>
          </w:p>
        </w:tc>
        <w:tc>
          <w:tcPr>
            <w:tcW w:type="dxa" w:w="1587"/>
            <w:shd w:val="clear" w:color="auto" w:fill="F5F7FA"/>
            <w:vAlign w:val="center"/>
          </w:tcPr>
          <w:p>
            <w:pPr>
              <w:jc w:val="center"/>
            </w:pPr>
            <w:r>
              <w:rPr>
                <w:rFonts w:ascii="Times New Roman" w:hAnsi="Times New Roman"/>
                <w:b w:val="0"/>
                <w:i w:val="0"/>
                <w:sz w:val="17"/>
              </w:rPr>
            </w:r>
          </w:p>
        </w:tc>
        <w:tc>
          <w:tcPr>
            <w:tcW w:type="dxa" w:w="1417"/>
            <w:shd w:val="clear" w:color="auto" w:fill="F5F7FA"/>
            <w:vAlign w:val="center"/>
          </w:tcPr>
          <w:p>
            <w:pPr>
              <w:jc w:val="center"/>
            </w:pPr>
            <w:r>
              <w:rPr>
                <w:rFonts w:ascii="Times New Roman" w:hAnsi="Times New Roman"/>
                <w:b w:val="0"/>
                <w:i w:val="0"/>
                <w:sz w:val="17"/>
              </w:rPr>
            </w:r>
          </w:p>
        </w:tc>
        <w:tc>
          <w:tcPr>
            <w:tcW w:type="dxa" w:w="1701"/>
            <w:shd w:val="clear" w:color="auto" w:fill="F5F7FA"/>
            <w:vAlign w:val="center"/>
          </w:tcPr>
          <w:p>
            <w:pPr>
              <w:jc w:val="center"/>
            </w:pPr>
            <w:r>
              <w:rPr>
                <w:rFonts w:ascii="Times New Roman" w:hAnsi="Times New Roman"/>
                <w:b w:val="0"/>
                <w:i w:val="0"/>
                <w:sz w:val="17"/>
              </w:rPr>
              <w:t>~$115–$125 per ADS</w:t>
            </w:r>
          </w:p>
        </w:tc>
      </w:tr>
    </w:tbl>
    <w:p/>
    <w:p>
      <w:pPr>
        <w:spacing w:before="0" w:after="80"/>
      </w:pPr>
      <w:r>
        <w:rPr>
          <w:rFonts w:ascii="Times New Roman" w:hAnsi="Times New Roman"/>
          <w:b w:val="0"/>
          <w:i w:val="0"/>
          <w:sz w:val="19"/>
        </w:rPr>
        <w:t>Our SOTP analysis yields an implied ADS value of $115–$125. We set our 12-month price target at $120, representing ~40–50% upside from current levels (approximately $80 per ADS). The discount reflects: (1) continued near-term EPS compression risk; (2) China geopolitical uncertainty; and (3) execution risk on the investment cycle timeline.</w:t>
      </w:r>
    </w:p>
    <w:p>
      <w:pPr>
        <w:spacing w:before="200" w:after="80"/>
      </w:pPr>
      <w:r>
        <w:rPr>
          <w:rFonts w:ascii="Times New Roman" w:hAnsi="Times New Roman"/>
          <w:b/>
          <w:i w:val="0"/>
          <w:color w:val="FF6A00"/>
          <w:sz w:val="22"/>
        </w:rPr>
        <w:t>Updated Financial Estimates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2268"/>
            <w:shd w:val="clear" w:color="auto" w:fill="1F2D5C"/>
            <w:vAlign w:val="center"/>
          </w:tcPr>
          <w:p>
            <w:pPr>
              <w:jc w:val="center"/>
            </w:pPr>
            <w:r>
              <w:rPr>
                <w:rFonts w:ascii="Times New Roman" w:hAnsi="Times New Roman"/>
                <w:b/>
                <w:i w:val="0"/>
                <w:color w:val="FFFFFF"/>
                <w:sz w:val="17"/>
              </w:rPr>
              <w:t>Metric</w:t>
            </w:r>
          </w:p>
        </w:tc>
        <w:tc>
          <w:tcPr>
            <w:tcW w:type="dxa" w:w="1417"/>
            <w:shd w:val="clear" w:color="auto" w:fill="1F2D5C"/>
            <w:vAlign w:val="center"/>
          </w:tcPr>
          <w:p>
            <w:pPr>
              <w:jc w:val="center"/>
            </w:pPr>
            <w:r>
              <w:rPr>
                <w:rFonts w:ascii="Times New Roman" w:hAnsi="Times New Roman"/>
                <w:b/>
                <w:i w:val="0"/>
                <w:color w:val="FFFFFF"/>
                <w:sz w:val="17"/>
              </w:rPr>
              <w:t>FY2025A</w:t>
            </w:r>
          </w:p>
        </w:tc>
        <w:tc>
          <w:tcPr>
            <w:tcW w:type="dxa" w:w="1417"/>
            <w:shd w:val="clear" w:color="auto" w:fill="1F2D5C"/>
            <w:vAlign w:val="center"/>
          </w:tcPr>
          <w:p>
            <w:pPr>
              <w:jc w:val="center"/>
            </w:pPr>
            <w:r>
              <w:rPr>
                <w:rFonts w:ascii="Times New Roman" w:hAnsi="Times New Roman"/>
                <w:b/>
                <w:i w:val="0"/>
                <w:color w:val="FFFFFF"/>
                <w:sz w:val="17"/>
              </w:rPr>
              <w:t>FY2026E</w:t>
            </w:r>
          </w:p>
        </w:tc>
        <w:tc>
          <w:tcPr>
            <w:tcW w:type="dxa" w:w="1417"/>
            <w:shd w:val="clear" w:color="auto" w:fill="1F2D5C"/>
            <w:vAlign w:val="center"/>
          </w:tcPr>
          <w:p>
            <w:pPr>
              <w:jc w:val="center"/>
            </w:pPr>
            <w:r>
              <w:rPr>
                <w:rFonts w:ascii="Times New Roman" w:hAnsi="Times New Roman"/>
                <w:b/>
                <w:i w:val="0"/>
                <w:color w:val="FFFFFF"/>
                <w:sz w:val="17"/>
              </w:rPr>
              <w:t>FY2027E</w:t>
            </w:r>
          </w:p>
        </w:tc>
        <w:tc>
          <w:tcPr>
            <w:tcW w:type="dxa" w:w="1417"/>
            <w:shd w:val="clear" w:color="auto" w:fill="1F2D5C"/>
            <w:vAlign w:val="center"/>
          </w:tcPr>
          <w:p>
            <w:pPr>
              <w:jc w:val="center"/>
            </w:pPr>
            <w:r>
              <w:rPr>
                <w:rFonts w:ascii="Times New Roman" w:hAnsi="Times New Roman"/>
                <w:b/>
                <w:i w:val="0"/>
                <w:color w:val="FFFFFF"/>
                <w:sz w:val="17"/>
              </w:rPr>
              <w:t>FY28E</w:t>
            </w:r>
          </w:p>
        </w:tc>
      </w:tr>
      <w:tr>
        <w:tc>
          <w:tcPr>
            <w:tcW w:type="dxa" w:w="2268"/>
            <w:vAlign w:val="center"/>
          </w:tcPr>
          <w:p>
            <w:pPr>
              <w:jc w:val="center"/>
            </w:pPr>
            <w:r>
              <w:rPr>
                <w:rFonts w:ascii="Times New Roman" w:hAnsi="Times New Roman"/>
                <w:b w:val="0"/>
                <w:i w:val="0"/>
                <w:sz w:val="17"/>
              </w:rPr>
              <w:t>Total Revenue (¥B)</w:t>
            </w:r>
          </w:p>
        </w:tc>
        <w:tc>
          <w:tcPr>
            <w:tcW w:type="dxa" w:w="1417"/>
            <w:vAlign w:val="center"/>
          </w:tcPr>
          <w:p>
            <w:pPr>
              <w:jc w:val="center"/>
            </w:pPr>
            <w:r>
              <w:rPr>
                <w:rFonts w:ascii="Times New Roman" w:hAnsi="Times New Roman"/>
                <w:b w:val="0"/>
                <w:i w:val="0"/>
                <w:sz w:val="17"/>
              </w:rPr>
              <w:t>¥941.2B</w:t>
            </w:r>
          </w:p>
        </w:tc>
        <w:tc>
          <w:tcPr>
            <w:tcW w:type="dxa" w:w="1417"/>
            <w:vAlign w:val="center"/>
          </w:tcPr>
          <w:p>
            <w:pPr>
              <w:jc w:val="center"/>
            </w:pPr>
            <w:r>
              <w:rPr>
                <w:rFonts w:ascii="Times New Roman" w:hAnsi="Times New Roman"/>
                <w:b w:val="0"/>
                <w:i w:val="0"/>
                <w:sz w:val="17"/>
              </w:rPr>
              <w:t>¥1,025B</w:t>
            </w:r>
          </w:p>
        </w:tc>
        <w:tc>
          <w:tcPr>
            <w:tcW w:type="dxa" w:w="1417"/>
            <w:vAlign w:val="center"/>
          </w:tcPr>
          <w:p>
            <w:pPr>
              <w:jc w:val="center"/>
            </w:pPr>
            <w:r>
              <w:rPr>
                <w:rFonts w:ascii="Times New Roman" w:hAnsi="Times New Roman"/>
                <w:b w:val="0"/>
                <w:i w:val="0"/>
                <w:sz w:val="17"/>
              </w:rPr>
              <w:t>¥1,140B</w:t>
            </w:r>
          </w:p>
        </w:tc>
        <w:tc>
          <w:tcPr>
            <w:tcW w:type="dxa" w:w="1417"/>
            <w:vAlign w:val="center"/>
          </w:tcPr>
          <w:p>
            <w:pPr>
              <w:jc w:val="center"/>
            </w:pPr>
            <w:r>
              <w:rPr>
                <w:rFonts w:ascii="Times New Roman" w:hAnsi="Times New Roman"/>
                <w:b w:val="0"/>
                <w:i w:val="0"/>
                <w:sz w:val="17"/>
              </w:rPr>
              <w:t>¥1,265B</w:t>
            </w:r>
          </w:p>
        </w:tc>
      </w:tr>
      <w:tr>
        <w:tc>
          <w:tcPr>
            <w:tcW w:type="dxa" w:w="2268"/>
            <w:shd w:val="clear" w:color="auto" w:fill="F5F7FA"/>
            <w:vAlign w:val="center"/>
          </w:tcPr>
          <w:p>
            <w:pPr>
              <w:jc w:val="center"/>
            </w:pPr>
            <w:r>
              <w:rPr>
                <w:rFonts w:ascii="Times New Roman" w:hAnsi="Times New Roman"/>
                <w:b w:val="0"/>
                <w:i w:val="0"/>
                <w:sz w:val="17"/>
              </w:rPr>
              <w:t>Revenue Growth YoY</w:t>
            </w:r>
          </w:p>
        </w:tc>
        <w:tc>
          <w:tcPr>
            <w:tcW w:type="dxa" w:w="1417"/>
            <w:shd w:val="clear" w:color="auto" w:fill="F5F7FA"/>
            <w:vAlign w:val="center"/>
          </w:tcPr>
          <w:p>
            <w:pPr>
              <w:jc w:val="center"/>
            </w:pPr>
            <w:r>
              <w:rPr>
                <w:rFonts w:ascii="Times New Roman" w:hAnsi="Times New Roman"/>
                <w:b w:val="0"/>
                <w:i w:val="0"/>
                <w:sz w:val="17"/>
              </w:rPr>
              <w:t>+7%</w:t>
            </w:r>
          </w:p>
        </w:tc>
        <w:tc>
          <w:tcPr>
            <w:tcW w:type="dxa" w:w="1417"/>
            <w:shd w:val="clear" w:color="auto" w:fill="F5F7FA"/>
            <w:vAlign w:val="center"/>
          </w:tcPr>
          <w:p>
            <w:pPr>
              <w:jc w:val="center"/>
            </w:pPr>
            <w:r>
              <w:rPr>
                <w:rFonts w:ascii="Times New Roman" w:hAnsi="Times New Roman"/>
                <w:b w:val="0"/>
                <w:i w:val="0"/>
                <w:sz w:val="17"/>
              </w:rPr>
              <w:t>+9%</w:t>
            </w:r>
          </w:p>
        </w:tc>
        <w:tc>
          <w:tcPr>
            <w:tcW w:type="dxa" w:w="1417"/>
            <w:shd w:val="clear" w:color="auto" w:fill="F5F7FA"/>
            <w:vAlign w:val="center"/>
          </w:tcPr>
          <w:p>
            <w:pPr>
              <w:jc w:val="center"/>
            </w:pPr>
            <w:r>
              <w:rPr>
                <w:rFonts w:ascii="Times New Roman" w:hAnsi="Times New Roman"/>
                <w:b w:val="0"/>
                <w:i w:val="0"/>
                <w:sz w:val="17"/>
              </w:rPr>
              <w:t>+11%</w:t>
            </w:r>
          </w:p>
        </w:tc>
        <w:tc>
          <w:tcPr>
            <w:tcW w:type="dxa" w:w="1417"/>
            <w:shd w:val="clear" w:color="auto" w:fill="F5F7FA"/>
            <w:vAlign w:val="center"/>
          </w:tcPr>
          <w:p>
            <w:pPr>
              <w:jc w:val="center"/>
            </w:pPr>
            <w:r>
              <w:rPr>
                <w:rFonts w:ascii="Times New Roman" w:hAnsi="Times New Roman"/>
                <w:b w:val="0"/>
                <w:i w:val="0"/>
                <w:sz w:val="17"/>
              </w:rPr>
              <w:t>+11%</w:t>
            </w:r>
          </w:p>
        </w:tc>
      </w:tr>
      <w:tr>
        <w:tc>
          <w:tcPr>
            <w:tcW w:type="dxa" w:w="2268"/>
            <w:vAlign w:val="center"/>
          </w:tcPr>
          <w:p>
            <w:pPr>
              <w:jc w:val="center"/>
            </w:pPr>
            <w:r>
              <w:rPr>
                <w:rFonts w:ascii="Times New Roman" w:hAnsi="Times New Roman"/>
                <w:b w:val="0"/>
                <w:i w:val="0"/>
                <w:sz w:val="17"/>
              </w:rPr>
              <w:t>Cloud Revenue (¥B)</w:t>
            </w:r>
          </w:p>
        </w:tc>
        <w:tc>
          <w:tcPr>
            <w:tcW w:type="dxa" w:w="1417"/>
            <w:vAlign w:val="center"/>
          </w:tcPr>
          <w:p>
            <w:pPr>
              <w:jc w:val="center"/>
            </w:pPr>
            <w:r>
              <w:rPr>
                <w:rFonts w:ascii="Times New Roman" w:hAnsi="Times New Roman"/>
                <w:b w:val="0"/>
                <w:i w:val="0"/>
                <w:sz w:val="17"/>
              </w:rPr>
              <w:t>¥117.3B</w:t>
            </w:r>
          </w:p>
        </w:tc>
        <w:tc>
          <w:tcPr>
            <w:tcW w:type="dxa" w:w="1417"/>
            <w:vAlign w:val="center"/>
          </w:tcPr>
          <w:p>
            <w:pPr>
              <w:jc w:val="center"/>
            </w:pPr>
            <w:r>
              <w:rPr>
                <w:rFonts w:ascii="Times New Roman" w:hAnsi="Times New Roman"/>
                <w:b w:val="0"/>
                <w:i w:val="0"/>
                <w:sz w:val="17"/>
              </w:rPr>
              <w:t>¥159.1B</w:t>
            </w:r>
          </w:p>
        </w:tc>
        <w:tc>
          <w:tcPr>
            <w:tcW w:type="dxa" w:w="1417"/>
            <w:vAlign w:val="center"/>
          </w:tcPr>
          <w:p>
            <w:pPr>
              <w:jc w:val="center"/>
            </w:pPr>
            <w:r>
              <w:rPr>
                <w:rFonts w:ascii="Times New Roman" w:hAnsi="Times New Roman"/>
                <w:b w:val="0"/>
                <w:i w:val="0"/>
                <w:sz w:val="17"/>
              </w:rPr>
              <w:t>¥211B</w:t>
            </w:r>
          </w:p>
        </w:tc>
        <w:tc>
          <w:tcPr>
            <w:tcW w:type="dxa" w:w="1417"/>
            <w:vAlign w:val="center"/>
          </w:tcPr>
          <w:p>
            <w:pPr>
              <w:jc w:val="center"/>
            </w:pPr>
            <w:r>
              <w:rPr>
                <w:rFonts w:ascii="Times New Roman" w:hAnsi="Times New Roman"/>
                <w:b w:val="0"/>
                <w:i w:val="0"/>
                <w:sz w:val="17"/>
              </w:rPr>
              <w:t>¥265B</w:t>
            </w:r>
          </w:p>
        </w:tc>
      </w:tr>
      <w:tr>
        <w:tc>
          <w:tcPr>
            <w:tcW w:type="dxa" w:w="2268"/>
            <w:shd w:val="clear" w:color="auto" w:fill="F5F7FA"/>
            <w:vAlign w:val="center"/>
          </w:tcPr>
          <w:p>
            <w:pPr>
              <w:jc w:val="center"/>
            </w:pPr>
            <w:r>
              <w:rPr>
                <w:rFonts w:ascii="Times New Roman" w:hAnsi="Times New Roman"/>
                <w:b w:val="0"/>
                <w:i w:val="0"/>
                <w:sz w:val="17"/>
              </w:rPr>
              <w:t>Cloud YoY Growth</w:t>
            </w:r>
          </w:p>
        </w:tc>
        <w:tc>
          <w:tcPr>
            <w:tcW w:type="dxa" w:w="1417"/>
            <w:shd w:val="clear" w:color="auto" w:fill="F5F7FA"/>
            <w:vAlign w:val="center"/>
          </w:tcPr>
          <w:p>
            <w:pPr>
              <w:jc w:val="center"/>
            </w:pPr>
            <w:r>
              <w:rPr>
                <w:rFonts w:ascii="Times New Roman" w:hAnsi="Times New Roman"/>
                <w:b w:val="0"/>
                <w:i w:val="0"/>
                <w:sz w:val="17"/>
              </w:rPr>
              <w:t>+20%</w:t>
            </w:r>
          </w:p>
        </w:tc>
        <w:tc>
          <w:tcPr>
            <w:tcW w:type="dxa" w:w="1417"/>
            <w:shd w:val="clear" w:color="auto" w:fill="F5F7FA"/>
            <w:vAlign w:val="center"/>
          </w:tcPr>
          <w:p>
            <w:pPr>
              <w:jc w:val="center"/>
            </w:pPr>
            <w:r>
              <w:rPr>
                <w:rFonts w:ascii="Times New Roman" w:hAnsi="Times New Roman"/>
                <w:b w:val="0"/>
                <w:i w:val="0"/>
                <w:sz w:val="17"/>
              </w:rPr>
              <w:t>+36%</w:t>
            </w:r>
          </w:p>
        </w:tc>
        <w:tc>
          <w:tcPr>
            <w:tcW w:type="dxa" w:w="1417"/>
            <w:shd w:val="clear" w:color="auto" w:fill="F5F7FA"/>
            <w:vAlign w:val="center"/>
          </w:tcPr>
          <w:p>
            <w:pPr>
              <w:jc w:val="center"/>
            </w:pPr>
            <w:r>
              <w:rPr>
                <w:rFonts w:ascii="Times New Roman" w:hAnsi="Times New Roman"/>
                <w:b w:val="0"/>
                <w:i w:val="0"/>
                <w:sz w:val="17"/>
              </w:rPr>
              <w:t>+33%</w:t>
            </w:r>
          </w:p>
        </w:tc>
        <w:tc>
          <w:tcPr>
            <w:tcW w:type="dxa" w:w="1417"/>
            <w:shd w:val="clear" w:color="auto" w:fill="F5F7FA"/>
            <w:vAlign w:val="center"/>
          </w:tcPr>
          <w:p>
            <w:pPr>
              <w:jc w:val="center"/>
            </w:pPr>
            <w:r>
              <w:rPr>
                <w:rFonts w:ascii="Times New Roman" w:hAnsi="Times New Roman"/>
                <w:b w:val="0"/>
                <w:i w:val="0"/>
                <w:sz w:val="17"/>
              </w:rPr>
              <w:t>+26%</w:t>
            </w:r>
          </w:p>
        </w:tc>
      </w:tr>
      <w:tr>
        <w:tc>
          <w:tcPr>
            <w:tcW w:type="dxa" w:w="2268"/>
            <w:vAlign w:val="center"/>
          </w:tcPr>
          <w:p>
            <w:pPr>
              <w:jc w:val="center"/>
            </w:pPr>
            <w:r>
              <w:rPr>
                <w:rFonts w:ascii="Times New Roman" w:hAnsi="Times New Roman"/>
                <w:b w:val="0"/>
                <w:i w:val="0"/>
                <w:sz w:val="17"/>
              </w:rPr>
              <w:t>Adj. EBITA (¥B)</w:t>
            </w:r>
          </w:p>
        </w:tc>
        <w:tc>
          <w:tcPr>
            <w:tcW w:type="dxa" w:w="1417"/>
            <w:vAlign w:val="center"/>
          </w:tcPr>
          <w:p>
            <w:pPr>
              <w:jc w:val="center"/>
            </w:pPr>
            <w:r>
              <w:rPr>
                <w:rFonts w:ascii="Times New Roman" w:hAnsi="Times New Roman"/>
                <w:b w:val="0"/>
                <w:i w:val="0"/>
                <w:sz w:val="17"/>
              </w:rPr>
              <w:t>~¥175B</w:t>
            </w:r>
          </w:p>
        </w:tc>
        <w:tc>
          <w:tcPr>
            <w:tcW w:type="dxa" w:w="1417"/>
            <w:vAlign w:val="center"/>
          </w:tcPr>
          <w:p>
            <w:pPr>
              <w:jc w:val="center"/>
            </w:pPr>
            <w:r>
              <w:rPr>
                <w:rFonts w:ascii="Times New Roman" w:hAnsi="Times New Roman"/>
                <w:b w:val="0"/>
                <w:i w:val="0"/>
                <w:sz w:val="17"/>
              </w:rPr>
              <w:t>~¥90B</w:t>
            </w:r>
          </w:p>
        </w:tc>
        <w:tc>
          <w:tcPr>
            <w:tcW w:type="dxa" w:w="1417"/>
            <w:vAlign w:val="center"/>
          </w:tcPr>
          <w:p>
            <w:pPr>
              <w:jc w:val="center"/>
            </w:pPr>
            <w:r>
              <w:rPr>
                <w:rFonts w:ascii="Times New Roman" w:hAnsi="Times New Roman"/>
                <w:b w:val="0"/>
                <w:i w:val="0"/>
                <w:sz w:val="17"/>
              </w:rPr>
              <w:t>~¥155B</w:t>
            </w:r>
          </w:p>
        </w:tc>
        <w:tc>
          <w:tcPr>
            <w:tcW w:type="dxa" w:w="1417"/>
            <w:vAlign w:val="center"/>
          </w:tcPr>
          <w:p>
            <w:pPr>
              <w:jc w:val="center"/>
            </w:pPr>
            <w:r>
              <w:rPr>
                <w:rFonts w:ascii="Times New Roman" w:hAnsi="Times New Roman"/>
                <w:b w:val="0"/>
                <w:i w:val="0"/>
                <w:sz w:val="17"/>
              </w:rPr>
              <w:t>~¥200B</w:t>
            </w:r>
          </w:p>
        </w:tc>
      </w:tr>
      <w:tr>
        <w:tc>
          <w:tcPr>
            <w:tcW w:type="dxa" w:w="2268"/>
            <w:shd w:val="clear" w:color="auto" w:fill="F5F7FA"/>
            <w:vAlign w:val="center"/>
          </w:tcPr>
          <w:p>
            <w:pPr>
              <w:jc w:val="center"/>
            </w:pPr>
            <w:r>
              <w:rPr>
                <w:rFonts w:ascii="Times New Roman" w:hAnsi="Times New Roman"/>
                <w:b w:val="0"/>
                <w:i w:val="0"/>
                <w:sz w:val="17"/>
              </w:rPr>
              <w:t>Adj. EBITA Margin</w:t>
            </w:r>
          </w:p>
        </w:tc>
        <w:tc>
          <w:tcPr>
            <w:tcW w:type="dxa" w:w="1417"/>
            <w:shd w:val="clear" w:color="auto" w:fill="F5F7FA"/>
            <w:vAlign w:val="center"/>
          </w:tcPr>
          <w:p>
            <w:pPr>
              <w:jc w:val="center"/>
            </w:pPr>
            <w:r>
              <w:rPr>
                <w:rFonts w:ascii="Times New Roman" w:hAnsi="Times New Roman"/>
                <w:b w:val="0"/>
                <w:i w:val="0"/>
                <w:sz w:val="17"/>
              </w:rPr>
              <w:t>~18.6%</w:t>
            </w:r>
          </w:p>
        </w:tc>
        <w:tc>
          <w:tcPr>
            <w:tcW w:type="dxa" w:w="1417"/>
            <w:shd w:val="clear" w:color="auto" w:fill="F5F7FA"/>
            <w:vAlign w:val="center"/>
          </w:tcPr>
          <w:p>
            <w:pPr>
              <w:jc w:val="center"/>
            </w:pPr>
            <w:r>
              <w:rPr>
                <w:rFonts w:ascii="Times New Roman" w:hAnsi="Times New Roman"/>
                <w:b w:val="0"/>
                <w:i w:val="0"/>
                <w:sz w:val="17"/>
              </w:rPr>
              <w:t>~8.8%</w:t>
            </w:r>
          </w:p>
        </w:tc>
        <w:tc>
          <w:tcPr>
            <w:tcW w:type="dxa" w:w="1417"/>
            <w:shd w:val="clear" w:color="auto" w:fill="F5F7FA"/>
            <w:vAlign w:val="center"/>
          </w:tcPr>
          <w:p>
            <w:pPr>
              <w:jc w:val="center"/>
            </w:pPr>
            <w:r>
              <w:rPr>
                <w:rFonts w:ascii="Times New Roman" w:hAnsi="Times New Roman"/>
                <w:b w:val="0"/>
                <w:i w:val="0"/>
                <w:sz w:val="17"/>
              </w:rPr>
              <w:t>~13.6%</w:t>
            </w:r>
          </w:p>
        </w:tc>
        <w:tc>
          <w:tcPr>
            <w:tcW w:type="dxa" w:w="1417"/>
            <w:shd w:val="clear" w:color="auto" w:fill="F5F7FA"/>
            <w:vAlign w:val="center"/>
          </w:tcPr>
          <w:p>
            <w:pPr>
              <w:jc w:val="center"/>
            </w:pPr>
            <w:r>
              <w:rPr>
                <w:rFonts w:ascii="Times New Roman" w:hAnsi="Times New Roman"/>
                <w:b w:val="0"/>
                <w:i w:val="0"/>
                <w:sz w:val="17"/>
              </w:rPr>
              <w:t>~15.8%</w:t>
            </w:r>
          </w:p>
        </w:tc>
      </w:tr>
      <w:tr>
        <w:tc>
          <w:tcPr>
            <w:tcW w:type="dxa" w:w="2268"/>
            <w:vAlign w:val="center"/>
          </w:tcPr>
          <w:p>
            <w:pPr>
              <w:jc w:val="center"/>
            </w:pPr>
            <w:r>
              <w:rPr>
                <w:rFonts w:ascii="Times New Roman" w:hAnsi="Times New Roman"/>
                <w:b w:val="0"/>
                <w:i w:val="0"/>
                <w:sz w:val="17"/>
              </w:rPr>
              <w:t>Non-GAAP EPS/ADS (¥)</w:t>
            </w:r>
          </w:p>
        </w:tc>
        <w:tc>
          <w:tcPr>
            <w:tcW w:type="dxa" w:w="1417"/>
            <w:vAlign w:val="center"/>
          </w:tcPr>
          <w:p>
            <w:pPr>
              <w:jc w:val="center"/>
            </w:pPr>
            <w:r>
              <w:rPr>
                <w:rFonts w:ascii="Times New Roman" w:hAnsi="Times New Roman"/>
                <w:b w:val="0"/>
                <w:i w:val="0"/>
                <w:sz w:val="17"/>
              </w:rPr>
              <w:t>~¥50.0</w:t>
            </w:r>
          </w:p>
        </w:tc>
        <w:tc>
          <w:tcPr>
            <w:tcW w:type="dxa" w:w="1417"/>
            <w:vAlign w:val="center"/>
          </w:tcPr>
          <w:p>
            <w:pPr>
              <w:jc w:val="center"/>
            </w:pPr>
            <w:r>
              <w:rPr>
                <w:rFonts w:ascii="Times New Roman" w:hAnsi="Times New Roman"/>
                <w:b w:val="0"/>
                <w:i w:val="0"/>
                <w:sz w:val="17"/>
              </w:rPr>
              <w:t>~¥28.0</w:t>
            </w:r>
          </w:p>
        </w:tc>
        <w:tc>
          <w:tcPr>
            <w:tcW w:type="dxa" w:w="1417"/>
            <w:vAlign w:val="center"/>
          </w:tcPr>
          <w:p>
            <w:pPr>
              <w:jc w:val="center"/>
            </w:pPr>
            <w:r>
              <w:rPr>
                <w:rFonts w:ascii="Times New Roman" w:hAnsi="Times New Roman"/>
                <w:b w:val="0"/>
                <w:i w:val="0"/>
                <w:sz w:val="17"/>
              </w:rPr>
              <w:t>~¥52.0</w:t>
            </w:r>
          </w:p>
        </w:tc>
        <w:tc>
          <w:tcPr>
            <w:tcW w:type="dxa" w:w="1417"/>
            <w:vAlign w:val="center"/>
          </w:tcPr>
          <w:p>
            <w:pPr>
              <w:jc w:val="center"/>
            </w:pPr>
            <w:r>
              <w:rPr>
                <w:rFonts w:ascii="Times New Roman" w:hAnsi="Times New Roman"/>
                <w:b w:val="0"/>
                <w:i w:val="0"/>
                <w:sz w:val="17"/>
              </w:rPr>
              <w:t>~¥67.0</w:t>
            </w:r>
          </w:p>
        </w:tc>
      </w:tr>
      <w:tr>
        <w:tc>
          <w:tcPr>
            <w:tcW w:type="dxa" w:w="2268"/>
            <w:shd w:val="clear" w:color="auto" w:fill="F5F7FA"/>
            <w:vAlign w:val="center"/>
          </w:tcPr>
          <w:p>
            <w:pPr>
              <w:jc w:val="center"/>
            </w:pPr>
            <w:r>
              <w:rPr>
                <w:rFonts w:ascii="Times New Roman" w:hAnsi="Times New Roman"/>
                <w:b w:val="0"/>
                <w:i w:val="0"/>
                <w:sz w:val="17"/>
              </w:rPr>
              <w:t>Non-GAAP P/E (at $80/ADS)</w:t>
            </w:r>
          </w:p>
        </w:tc>
        <w:tc>
          <w:tcPr>
            <w:tcW w:type="dxa" w:w="1417"/>
            <w:shd w:val="clear" w:color="auto" w:fill="F5F7FA"/>
            <w:vAlign w:val="center"/>
          </w:tcPr>
          <w:p>
            <w:pPr>
              <w:jc w:val="center"/>
            </w:pPr>
            <w:r>
              <w:rPr>
                <w:rFonts w:ascii="Times New Roman" w:hAnsi="Times New Roman"/>
                <w:b w:val="0"/>
                <w:i w:val="0"/>
                <w:sz w:val="17"/>
              </w:rPr>
              <w:t>~11x</w:t>
            </w:r>
          </w:p>
        </w:tc>
        <w:tc>
          <w:tcPr>
            <w:tcW w:type="dxa" w:w="1417"/>
            <w:shd w:val="clear" w:color="auto" w:fill="F5F7FA"/>
            <w:vAlign w:val="center"/>
          </w:tcPr>
          <w:p>
            <w:pPr>
              <w:jc w:val="center"/>
            </w:pPr>
            <w:r>
              <w:rPr>
                <w:rFonts w:ascii="Times New Roman" w:hAnsi="Times New Roman"/>
                <w:b w:val="0"/>
                <w:i w:val="0"/>
                <w:sz w:val="17"/>
              </w:rPr>
              <w:t>~20x</w:t>
            </w:r>
          </w:p>
        </w:tc>
        <w:tc>
          <w:tcPr>
            <w:tcW w:type="dxa" w:w="1417"/>
            <w:shd w:val="clear" w:color="auto" w:fill="F5F7FA"/>
            <w:vAlign w:val="center"/>
          </w:tcPr>
          <w:p>
            <w:pPr>
              <w:jc w:val="center"/>
            </w:pPr>
            <w:r>
              <w:rPr>
                <w:rFonts w:ascii="Times New Roman" w:hAnsi="Times New Roman"/>
                <w:b w:val="0"/>
                <w:i w:val="0"/>
                <w:sz w:val="17"/>
              </w:rPr>
              <w:t>~11x</w:t>
            </w:r>
          </w:p>
        </w:tc>
        <w:tc>
          <w:tcPr>
            <w:tcW w:type="dxa" w:w="1417"/>
            <w:shd w:val="clear" w:color="auto" w:fill="F5F7FA"/>
            <w:vAlign w:val="center"/>
          </w:tcPr>
          <w:p>
            <w:pPr>
              <w:jc w:val="center"/>
            </w:pPr>
            <w:r>
              <w:rPr>
                <w:rFonts w:ascii="Times New Roman" w:hAnsi="Times New Roman"/>
                <w:b w:val="0"/>
                <w:i w:val="0"/>
                <w:sz w:val="17"/>
              </w:rPr>
              <w:t>~8.5x</w:t>
            </w:r>
          </w:p>
        </w:tc>
      </w:tr>
    </w:tbl>
    <w:p/>
    <w:p>
      <w:pPr>
        <w:spacing w:before="200" w:after="80"/>
      </w:pPr>
      <w:r>
        <w:rPr>
          <w:rFonts w:ascii="Times New Roman" w:hAnsi="Times New Roman"/>
          <w:b/>
          <w:i w:val="0"/>
          <w:color w:val="FF6A00"/>
          <w:sz w:val="22"/>
        </w:rPr>
        <w:t>Gross Margin &amp; Cloud Growth Trends</w:t>
      </w:r>
    </w:p>
    <w:p>
      <w:pPr>
        <w:jc w:val="center"/>
      </w:pPr>
      <w:r>
        <w:drawing>
          <wp:inline xmlns:a="http://schemas.openxmlformats.org/drawingml/2006/main" xmlns:pic="http://schemas.openxmlformats.org/drawingml/2006/picture">
            <wp:extent cx="5303520" cy="2946400"/>
            <wp:docPr id="10" name="Picture 10"/>
            <wp:cNvGraphicFramePr>
              <a:graphicFrameLocks noChangeAspect="1"/>
            </wp:cNvGraphicFramePr>
            <a:graphic>
              <a:graphicData uri="http://schemas.openxmlformats.org/drawingml/2006/picture">
                <pic:pic>
                  <pic:nvPicPr>
                    <pic:cNvPr id="0" name="baba_chart7_gross_margin.png"/>
                    <pic:cNvPicPr/>
                  </pic:nvPicPr>
                  <pic:blipFill>
                    <a:blip r:embed="rId18"/>
                    <a:stretch>
                      <a:fillRect/>
                    </a:stretch>
                  </pic:blipFill>
                  <pic:spPr>
                    <a:xfrm>
                      <a:off x="0" y="0"/>
                      <a:ext cx="5303520" cy="2946400"/>
                    </a:xfrm>
                    <a:prstGeom prst="rect"/>
                  </pic:spPr>
                </pic:pic>
              </a:graphicData>
            </a:graphic>
          </wp:inline>
        </w:drawing>
      </w:r>
    </w:p>
    <w:p>
      <w:pPr>
        <w:spacing w:before="0" w:after="80"/>
      </w:pPr>
      <w:r>
        <w:rPr>
          <w:rFonts w:ascii="Times New Roman" w:hAnsi="Times New Roman"/>
          <w:b w:val="0"/>
          <w:i/>
          <w:sz w:val="16"/>
        </w:rPr>
        <w:t>Chart 10: Gross Margin Trend (%) — Q4 FY24 to Q3 FY26</w:t>
      </w:r>
    </w:p>
    <w:p>
      <w:r>
        <w:br w:type="page"/>
      </w:r>
    </w:p>
    <w:p>
      <w:pPr>
        <w:spacing w:before="200" w:after="80"/>
      </w:pPr>
      <w:r>
        <w:rPr>
          <w:rFonts w:ascii="Times New Roman" w:hAnsi="Times New Roman"/>
          <w:b/>
          <w:i w:val="0"/>
          <w:color w:val="1F2D5C"/>
          <w:sz w:val="26"/>
        </w:rPr>
        <w:t>KEY RISKS</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val="clear" w:color="auto" w:fill="E8192C"/>
            <w:vAlign w:val="center"/>
          </w:tcPr>
          <w:p>
            <w:pPr>
              <w:jc w:val="center"/>
            </w:pPr>
            <w:r>
              <w:rPr>
                <w:rFonts w:ascii="Times New Roman" w:hAnsi="Times New Roman"/>
                <w:b/>
                <w:i w:val="0"/>
                <w:color w:val="FFFFFF"/>
                <w:sz w:val="17"/>
              </w:rPr>
              <w:t>Risk Category</w:t>
            </w:r>
          </w:p>
        </w:tc>
        <w:tc>
          <w:tcPr>
            <w:tcW w:type="dxa" w:w="4819"/>
            <w:shd w:val="clear" w:color="auto" w:fill="E8192C"/>
            <w:vAlign w:val="center"/>
          </w:tcPr>
          <w:p>
            <w:pPr>
              <w:jc w:val="center"/>
            </w:pPr>
            <w:r>
              <w:rPr>
                <w:rFonts w:ascii="Times New Roman" w:hAnsi="Times New Roman"/>
                <w:b/>
                <w:i w:val="0"/>
                <w:color w:val="FFFFFF"/>
                <w:sz w:val="17"/>
              </w:rPr>
              <w:t>Description</w:t>
            </w:r>
          </w:p>
        </w:tc>
        <w:tc>
          <w:tcPr>
            <w:tcW w:type="dxa" w:w="1417"/>
            <w:shd w:val="clear" w:color="auto" w:fill="E8192C"/>
            <w:vAlign w:val="center"/>
          </w:tcPr>
          <w:p>
            <w:pPr>
              <w:jc w:val="center"/>
            </w:pPr>
            <w:r>
              <w:rPr>
                <w:rFonts w:ascii="Times New Roman" w:hAnsi="Times New Roman"/>
                <w:b/>
                <w:i w:val="0"/>
                <w:color w:val="FFFFFF"/>
                <w:sz w:val="17"/>
              </w:rPr>
              <w:t>Severity</w:t>
            </w:r>
          </w:p>
        </w:tc>
      </w:tr>
      <w:tr>
        <w:tc>
          <w:tcPr>
            <w:tcW w:type="dxa" w:w="1984"/>
            <w:vAlign w:val="center"/>
          </w:tcPr>
          <w:p>
            <w:pPr>
              <w:jc w:val="center"/>
            </w:pPr>
            <w:r>
              <w:rPr>
                <w:rFonts w:ascii="Times New Roman" w:hAnsi="Times New Roman"/>
                <w:b w:val="0"/>
                <w:i w:val="0"/>
                <w:sz w:val="17"/>
              </w:rPr>
              <w:t>Investment Cycle Duration</w:t>
            </w:r>
          </w:p>
        </w:tc>
        <w:tc>
          <w:tcPr>
            <w:tcW w:type="dxa" w:w="4819"/>
            <w:vAlign w:val="center"/>
          </w:tcPr>
          <w:p>
            <w:pPr>
              <w:jc w:val="center"/>
            </w:pPr>
            <w:r>
              <w:rPr>
                <w:rFonts w:ascii="Times New Roman" w:hAnsi="Times New Roman"/>
                <w:b w:val="0"/>
                <w:i w:val="0"/>
                <w:sz w:val="17"/>
              </w:rPr>
              <w:t>Management may continue heavy spending longer than market expects, delaying EPS recovery beyond FY2027.</w:t>
            </w:r>
          </w:p>
        </w:tc>
        <w:tc>
          <w:tcPr>
            <w:tcW w:type="dxa" w:w="1417"/>
            <w:vAlign w:val="center"/>
          </w:tcPr>
          <w:p>
            <w:pPr>
              <w:jc w:val="center"/>
            </w:pPr>
            <w:r>
              <w:rPr>
                <w:rFonts w:ascii="Times New Roman" w:hAnsi="Times New Roman"/>
                <w:b w:val="0"/>
                <w:i w:val="0"/>
                <w:sz w:val="17"/>
              </w:rPr>
              <w:t>HIGH</w:t>
            </w:r>
          </w:p>
        </w:tc>
      </w:tr>
      <w:tr>
        <w:tc>
          <w:tcPr>
            <w:tcW w:type="dxa" w:w="1984"/>
            <w:shd w:val="clear" w:color="auto" w:fill="FFF5F5"/>
            <w:vAlign w:val="center"/>
          </w:tcPr>
          <w:p>
            <w:pPr>
              <w:jc w:val="center"/>
            </w:pPr>
            <w:r>
              <w:rPr>
                <w:rFonts w:ascii="Times New Roman" w:hAnsi="Times New Roman"/>
                <w:b w:val="0"/>
                <w:i w:val="0"/>
                <w:sz w:val="17"/>
              </w:rPr>
              <w:t>China Macro / Consumer</w:t>
            </w:r>
          </w:p>
        </w:tc>
        <w:tc>
          <w:tcPr>
            <w:tcW w:type="dxa" w:w="4819"/>
            <w:shd w:val="clear" w:color="auto" w:fill="FFF5F5"/>
            <w:vAlign w:val="center"/>
          </w:tcPr>
          <w:p>
            <w:pPr>
              <w:jc w:val="center"/>
            </w:pPr>
            <w:r>
              <w:rPr>
                <w:rFonts w:ascii="Times New Roman" w:hAnsi="Times New Roman"/>
                <w:b w:val="0"/>
                <w:i w:val="0"/>
                <w:sz w:val="17"/>
              </w:rPr>
              <w:t>Soft Chinese consumer sentiment and real estate weakness could limit GMV recovery; quick commerce economics unproven at scale.</w:t>
            </w:r>
          </w:p>
        </w:tc>
        <w:tc>
          <w:tcPr>
            <w:tcW w:type="dxa" w:w="1417"/>
            <w:shd w:val="clear" w:color="auto" w:fill="FFF5F5"/>
            <w:vAlign w:val="center"/>
          </w:tcPr>
          <w:p>
            <w:pPr>
              <w:jc w:val="center"/>
            </w:pPr>
            <w:r>
              <w:rPr>
                <w:rFonts w:ascii="Times New Roman" w:hAnsi="Times New Roman"/>
                <w:b w:val="0"/>
                <w:i w:val="0"/>
                <w:sz w:val="17"/>
              </w:rPr>
              <w:t>MEDIUM-HIGH</w:t>
            </w:r>
          </w:p>
        </w:tc>
      </w:tr>
      <w:tr>
        <w:tc>
          <w:tcPr>
            <w:tcW w:type="dxa" w:w="1984"/>
            <w:vAlign w:val="center"/>
          </w:tcPr>
          <w:p>
            <w:pPr>
              <w:jc w:val="center"/>
            </w:pPr>
            <w:r>
              <w:rPr>
                <w:rFonts w:ascii="Times New Roman" w:hAnsi="Times New Roman"/>
                <w:b w:val="0"/>
                <w:i w:val="0"/>
                <w:sz w:val="17"/>
              </w:rPr>
              <w:t>Geopolitical / ADR Risk</w:t>
            </w:r>
          </w:p>
        </w:tc>
        <w:tc>
          <w:tcPr>
            <w:tcW w:type="dxa" w:w="4819"/>
            <w:vAlign w:val="center"/>
          </w:tcPr>
          <w:p>
            <w:pPr>
              <w:jc w:val="center"/>
            </w:pPr>
            <w:r>
              <w:rPr>
                <w:rFonts w:ascii="Times New Roman" w:hAnsi="Times New Roman"/>
                <w:b w:val="0"/>
                <w:i w:val="0"/>
                <w:sz w:val="17"/>
              </w:rPr>
              <w:t>US-listed ADR remains subject to PCAOB oversight risk; HKEX listing partially mitigates but US delistin remains a tail risk.</w:t>
            </w:r>
          </w:p>
        </w:tc>
        <w:tc>
          <w:tcPr>
            <w:tcW w:type="dxa" w:w="1417"/>
            <w:vAlign w:val="center"/>
          </w:tcPr>
          <w:p>
            <w:pPr>
              <w:jc w:val="center"/>
            </w:pPr>
            <w:r>
              <w:rPr>
                <w:rFonts w:ascii="Times New Roman" w:hAnsi="Times New Roman"/>
                <w:b w:val="0"/>
                <w:i w:val="0"/>
                <w:sz w:val="17"/>
              </w:rPr>
              <w:t>MEDIUM</w:t>
            </w:r>
          </w:p>
        </w:tc>
      </w:tr>
      <w:tr>
        <w:tc>
          <w:tcPr>
            <w:tcW w:type="dxa" w:w="1984"/>
            <w:shd w:val="clear" w:color="auto" w:fill="FFF5F5"/>
            <w:vAlign w:val="center"/>
          </w:tcPr>
          <w:p>
            <w:pPr>
              <w:jc w:val="center"/>
            </w:pPr>
            <w:r>
              <w:rPr>
                <w:rFonts w:ascii="Times New Roman" w:hAnsi="Times New Roman"/>
                <w:b w:val="0"/>
                <w:i w:val="0"/>
                <w:sz w:val="17"/>
              </w:rPr>
              <w:t>Cloud Competition</w:t>
            </w:r>
          </w:p>
        </w:tc>
        <w:tc>
          <w:tcPr>
            <w:tcW w:type="dxa" w:w="4819"/>
            <w:shd w:val="clear" w:color="auto" w:fill="FFF5F5"/>
            <w:vAlign w:val="center"/>
          </w:tcPr>
          <w:p>
            <w:pPr>
              <w:jc w:val="center"/>
            </w:pPr>
            <w:r>
              <w:rPr>
                <w:rFonts w:ascii="Times New Roman" w:hAnsi="Times New Roman"/>
                <w:b w:val="0"/>
                <w:i w:val="0"/>
                <w:sz w:val="17"/>
              </w:rPr>
              <w:t>Huawei, Tencent, Baidu, and ByteDance all aggressively competing in China cloud; pricing pressure could slow cloud margin recovery.</w:t>
            </w:r>
          </w:p>
        </w:tc>
        <w:tc>
          <w:tcPr>
            <w:tcW w:type="dxa" w:w="1417"/>
            <w:shd w:val="clear" w:color="auto" w:fill="FFF5F5"/>
            <w:vAlign w:val="center"/>
          </w:tcPr>
          <w:p>
            <w:pPr>
              <w:jc w:val="center"/>
            </w:pPr>
            <w:r>
              <w:rPr>
                <w:rFonts w:ascii="Times New Roman" w:hAnsi="Times New Roman"/>
                <w:b w:val="0"/>
                <w:i w:val="0"/>
                <w:sz w:val="17"/>
              </w:rPr>
              <w:t>MEDIUM</w:t>
            </w:r>
          </w:p>
        </w:tc>
      </w:tr>
      <w:tr>
        <w:tc>
          <w:tcPr>
            <w:tcW w:type="dxa" w:w="1984"/>
            <w:vAlign w:val="center"/>
          </w:tcPr>
          <w:p>
            <w:pPr>
              <w:jc w:val="center"/>
            </w:pPr>
            <w:r>
              <w:rPr>
                <w:rFonts w:ascii="Times New Roman" w:hAnsi="Times New Roman"/>
                <w:b w:val="0"/>
                <w:i w:val="0"/>
                <w:sz w:val="17"/>
              </w:rPr>
              <w:t>International Commerce</w:t>
            </w:r>
          </w:p>
        </w:tc>
        <w:tc>
          <w:tcPr>
            <w:tcW w:type="dxa" w:w="4819"/>
            <w:vAlign w:val="center"/>
          </w:tcPr>
          <w:p>
            <w:pPr>
              <w:jc w:val="center"/>
            </w:pPr>
            <w:r>
              <w:rPr>
                <w:rFonts w:ascii="Times New Roman" w:hAnsi="Times New Roman"/>
                <w:b w:val="0"/>
                <w:i w:val="0"/>
                <w:sz w:val="17"/>
              </w:rPr>
              <w:t>Lazada SE Asia restructuring remains incomplete; execution of AIDC quality-over-quantity pivot could depress reported growth for multiple quarters.</w:t>
            </w:r>
          </w:p>
        </w:tc>
        <w:tc>
          <w:tcPr>
            <w:tcW w:type="dxa" w:w="1417"/>
            <w:vAlign w:val="center"/>
          </w:tcPr>
          <w:p>
            <w:pPr>
              <w:jc w:val="center"/>
            </w:pPr>
            <w:r>
              <w:rPr>
                <w:rFonts w:ascii="Times New Roman" w:hAnsi="Times New Roman"/>
                <w:b w:val="0"/>
                <w:i w:val="0"/>
                <w:sz w:val="17"/>
              </w:rPr>
              <w:t>MEDIUM</w:t>
            </w:r>
          </w:p>
        </w:tc>
      </w:tr>
      <w:tr>
        <w:tc>
          <w:tcPr>
            <w:tcW w:type="dxa" w:w="1984"/>
            <w:shd w:val="clear" w:color="auto" w:fill="FFF5F5"/>
            <w:vAlign w:val="center"/>
          </w:tcPr>
          <w:p>
            <w:pPr>
              <w:jc w:val="center"/>
            </w:pPr>
            <w:r>
              <w:rPr>
                <w:rFonts w:ascii="Times New Roman" w:hAnsi="Times New Roman"/>
                <w:b w:val="0"/>
                <w:i w:val="0"/>
                <w:sz w:val="17"/>
              </w:rPr>
              <w:t>Regulatory</w:t>
            </w:r>
          </w:p>
        </w:tc>
        <w:tc>
          <w:tcPr>
            <w:tcW w:type="dxa" w:w="4819"/>
            <w:shd w:val="clear" w:color="auto" w:fill="FFF5F5"/>
            <w:vAlign w:val="center"/>
          </w:tcPr>
          <w:p>
            <w:pPr>
              <w:jc w:val="center"/>
            </w:pPr>
            <w:r>
              <w:rPr>
                <w:rFonts w:ascii="Times New Roman" w:hAnsi="Times New Roman"/>
                <w:b w:val="0"/>
                <w:i w:val="0"/>
                <w:sz w:val="17"/>
              </w:rPr>
              <w:t>China tech regulation remains active; platform economy rules could impose new compliance costs or restrict certain business practices.</w:t>
            </w:r>
          </w:p>
        </w:tc>
        <w:tc>
          <w:tcPr>
            <w:tcW w:type="dxa" w:w="1417"/>
            <w:shd w:val="clear" w:color="auto" w:fill="FFF5F5"/>
            <w:vAlign w:val="center"/>
          </w:tcPr>
          <w:p>
            <w:pPr>
              <w:jc w:val="center"/>
            </w:pPr>
            <w:r>
              <w:rPr>
                <w:rFonts w:ascii="Times New Roman" w:hAnsi="Times New Roman"/>
                <w:b w:val="0"/>
                <w:i w:val="0"/>
                <w:sz w:val="17"/>
              </w:rPr>
              <w:t>LOW-MEDIUM</w:t>
            </w:r>
          </w:p>
        </w:tc>
      </w:tr>
      <w:tr>
        <w:tc>
          <w:tcPr>
            <w:tcW w:type="dxa" w:w="1984"/>
            <w:vAlign w:val="center"/>
          </w:tcPr>
          <w:p>
            <w:pPr>
              <w:jc w:val="center"/>
            </w:pPr>
            <w:r>
              <w:rPr>
                <w:rFonts w:ascii="Times New Roman" w:hAnsi="Times New Roman"/>
                <w:b w:val="0"/>
                <w:i w:val="0"/>
                <w:sz w:val="17"/>
              </w:rPr>
              <w:t>Qwen Monetization</w:t>
            </w:r>
          </w:p>
        </w:tc>
        <w:tc>
          <w:tcPr>
            <w:tcW w:type="dxa" w:w="4819"/>
            <w:vAlign w:val="center"/>
          </w:tcPr>
          <w:p>
            <w:pPr>
              <w:jc w:val="center"/>
            </w:pPr>
            <w:r>
              <w:rPr>
                <w:rFonts w:ascii="Times New Roman" w:hAnsi="Times New Roman"/>
                <w:b w:val="0"/>
                <w:i w:val="0"/>
                <w:sz w:val="17"/>
              </w:rPr>
              <w:t>Qwen at 300M MAU is impressive but not yet meaningfully monetized; model capability races could erode Qwen's competitive differentiation.</w:t>
            </w:r>
          </w:p>
        </w:tc>
        <w:tc>
          <w:tcPr>
            <w:tcW w:type="dxa" w:w="1417"/>
            <w:vAlign w:val="center"/>
          </w:tcPr>
          <w:p>
            <w:pPr>
              <w:jc w:val="center"/>
            </w:pPr>
            <w:r>
              <w:rPr>
                <w:rFonts w:ascii="Times New Roman" w:hAnsi="Times New Roman"/>
                <w:b w:val="0"/>
                <w:i w:val="0"/>
                <w:sz w:val="17"/>
              </w:rPr>
              <w:t>LOW-MEDIUM</w:t>
            </w:r>
          </w:p>
        </w:tc>
      </w:tr>
    </w:tbl>
    <w:p/>
    <w:p>
      <w:pPr>
        <w:spacing w:before="200" w:after="80"/>
      </w:pPr>
      <w:r>
        <w:rPr>
          <w:rFonts w:ascii="Times New Roman" w:hAnsi="Times New Roman"/>
          <w:b/>
          <w:i w:val="0"/>
          <w:color w:val="1F2D5C"/>
          <w:sz w:val="22"/>
        </w:rPr>
        <w:t>SOURCES &amp; DISCLOSURES</w:t>
      </w:r>
    </w:p>
    <w:p>
      <w:pPr>
        <w:spacing w:before="0" w:after="80"/>
      </w:pPr>
      <w:r>
        <w:rPr>
          <w:rFonts w:ascii="Times New Roman" w:hAnsi="Times New Roman"/>
          <w:b w:val="0"/>
          <w:i w:val="0"/>
          <w:sz w:val="18"/>
        </w:rPr>
        <w:t>All financial data sourced from Alibaba Group official filings and investor relations materials:</w:t>
      </w:r>
    </w:p>
    <w:p>
      <w:pPr>
        <w:spacing w:before="0" w:after="60"/>
      </w:pPr>
      <w:r>
        <w:rPr>
          <w:rFonts w:ascii="Times New Roman" w:hAnsi="Times New Roman"/>
          <w:b w:val="0"/>
          <w:i w:val="0"/>
          <w:sz w:val="18"/>
        </w:rPr>
        <w:t xml:space="preserve">• </w:t>
      </w:r>
      <w:hyperlink r:id="rId19">
        <w:r>
          <w:rPr>
            <w:rStyle w:val="Hyperlink"/>
          </w:rPr>
          <w:t>Alibaba Q3 FY2026 Earnings Press Release (March 18, 2026)</w:t>
        </w:r>
      </w:hyperlink>
    </w:p>
    <w:p>
      <w:pPr>
        <w:spacing w:before="0" w:after="60"/>
      </w:pPr>
      <w:r>
        <w:rPr>
          <w:rFonts w:ascii="Times New Roman" w:hAnsi="Times New Roman"/>
          <w:b w:val="0"/>
          <w:i w:val="0"/>
          <w:sz w:val="18"/>
        </w:rPr>
        <w:t xml:space="preserve">• </w:t>
      </w:r>
      <w:hyperlink r:id="rId20">
        <w:r>
          <w:rPr>
            <w:rStyle w:val="Hyperlink"/>
          </w:rPr>
          <w:t>CNBC: Alibaba revenue misses estimates in December quarter as net income drops 66%</w:t>
        </w:r>
      </w:hyperlink>
    </w:p>
    <w:p>
      <w:pPr>
        <w:spacing w:before="0" w:after="60"/>
      </w:pPr>
      <w:r>
        <w:rPr>
          <w:rFonts w:ascii="Times New Roman" w:hAnsi="Times New Roman"/>
          <w:b w:val="0"/>
          <w:i w:val="0"/>
          <w:sz w:val="18"/>
        </w:rPr>
        <w:t xml:space="preserve">• </w:t>
      </w:r>
      <w:hyperlink r:id="rId21">
        <w:r>
          <w:rPr>
            <w:rStyle w:val="Hyperlink"/>
          </w:rPr>
          <w:t>Alibaba Q2 FY2026 Earnings Press Release (November 24, 2025)</w:t>
        </w:r>
      </w:hyperlink>
    </w:p>
    <w:p>
      <w:pPr>
        <w:spacing w:before="0" w:after="60"/>
      </w:pPr>
      <w:r>
        <w:rPr>
          <w:rFonts w:ascii="Times New Roman" w:hAnsi="Times New Roman"/>
          <w:b w:val="0"/>
          <w:i w:val="0"/>
          <w:sz w:val="18"/>
        </w:rPr>
        <w:t xml:space="preserve">• </w:t>
      </w:r>
      <w:hyperlink r:id="rId22">
        <w:r>
          <w:rPr>
            <w:rStyle w:val="Hyperlink"/>
          </w:rPr>
          <w:t>Alibaba Q4 FY2025 &amp; Full Year FY2025 Results (May 14, 2025)</w:t>
        </w:r>
      </w:hyperlink>
    </w:p>
    <w:p>
      <w:pPr>
        <w:spacing w:before="0" w:after="60"/>
      </w:pPr>
      <w:r>
        <w:rPr>
          <w:rFonts w:ascii="Times New Roman" w:hAnsi="Times New Roman"/>
          <w:b w:val="0"/>
          <w:i w:val="0"/>
          <w:sz w:val="18"/>
        </w:rPr>
        <w:t xml:space="preserve">• </w:t>
      </w:r>
      <w:hyperlink r:id="rId23">
        <w:r>
          <w:rPr>
            <w:rStyle w:val="Hyperlink"/>
          </w:rPr>
          <w:t>Alibaba Investor Relations — BABA SEC Filings (EDGAR)</w:t>
        </w:r>
      </w:hyperlink>
    </w:p>
    <w:p>
      <w:pPr>
        <w:spacing w:before="0" w:after="60"/>
      </w:pPr>
      <w:r>
        <w:rPr>
          <w:rFonts w:ascii="Times New Roman" w:hAnsi="Times New Roman"/>
          <w:b w:val="0"/>
          <w:i w:val="0"/>
          <w:sz w:val="18"/>
        </w:rPr>
        <w:t xml:space="preserve">• </w:t>
      </w:r>
      <w:hyperlink r:id="rId24">
        <w:r>
          <w:rPr>
            <w:rStyle w:val="Hyperlink"/>
          </w:rPr>
          <w:t>Alibaba AliViews: Eddie Wu on Q3 FY2026 Earnings</w:t>
        </w:r>
      </w:hyperlink>
    </w:p>
    <w:p>
      <w:pPr>
        <w:spacing w:before="0" w:after="60"/>
      </w:pPr>
      <w:r>
        <w:rPr>
          <w:rFonts w:ascii="Times New Roman" w:hAnsi="Times New Roman"/>
          <w:b w:val="0"/>
          <w:i w:val="0"/>
          <w:sz w:val="18"/>
        </w:rPr>
        <w:t xml:space="preserve">• </w:t>
      </w:r>
      <w:hyperlink r:id="rId25">
        <w:r>
          <w:rPr>
            <w:rStyle w:val="Hyperlink"/>
          </w:rPr>
          <w:t>Alpha Spread: Alibaba Misses Revenue Estimates as Net Income Plunges 66%</w:t>
        </w:r>
      </w:hyperlink>
    </w:p>
    <w:p>
      <w:pPr>
        <w:spacing w:before="0" w:after="60"/>
      </w:pPr>
      <w:r>
        <w:rPr>
          <w:rFonts w:ascii="Times New Roman" w:hAnsi="Times New Roman"/>
          <w:b w:val="0"/>
          <w:i w:val="0"/>
          <w:sz w:val="18"/>
        </w:rPr>
        <w:t xml:space="preserve">• </w:t>
      </w:r>
      <w:hyperlink r:id="rId26">
        <w:r>
          <w:rPr>
            <w:rStyle w:val="Hyperlink"/>
          </w:rPr>
          <w:t>AlphaStreet: Key metrics from Alibaba Group BABA Q3 2025 earnings</w:t>
        </w:r>
      </w:hyperlink>
    </w:p>
    <w:p/>
    <w:p>
      <w:pPr>
        <w:spacing w:before="0" w:after="80"/>
      </w:pPr>
      <w:r>
        <w:rPr>
          <w:rFonts w:ascii="Times New Roman" w:hAnsi="Times New Roman"/>
          <w:b w:val="0"/>
          <w:i/>
          <w:sz w:val="16"/>
        </w:rPr>
        <w:t>ANALYST DISCLOSURES: This report is prepared for informational purposes only. The rating (BUY) and price target ($120.00) represent the analyst's current view based on publicly available information as of March 21, 2026. This is not investment advice. Market data sourced via yfinance. All financial figures in Chinese Renminbi (RMB/CNY) unless otherwise stated; USD conversion at approximately ¥7.0/USD.</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hyperlink" Target="https://www.businesswire.com/news/home/20260318501558/en/Alibaba-Group-Announces-December-Quarter-2025-Results" TargetMode="External"/><Relationship Id="rId20" Type="http://schemas.openxmlformats.org/officeDocument/2006/relationships/hyperlink" Target="https://www.cnbc.com/2026/03/19/alibaba-december-quarter-earnings-ai-investment.html" TargetMode="External"/><Relationship Id="rId21" Type="http://schemas.openxmlformats.org/officeDocument/2006/relationships/hyperlink" Target="https://www.businesswire.com/news/home/20251124757764/en/Alibaba-Group-Announces-September-Quarter-2025-Results-and-Interim-Results-for-the-Six-Months-Ended-September-30-2025" TargetMode="External"/><Relationship Id="rId22" Type="http://schemas.openxmlformats.org/officeDocument/2006/relationships/hyperlink" Target="https://www.businesswire.com/news/home/20250514856295/en/Alibaba-Group-Announces-March-Quarter-2025-and-Fiscal-Year-2025-Results" TargetMode="External"/><Relationship Id="rId23" Type="http://schemas.openxmlformats.org/officeDocument/2006/relationships/hyperlink" Target="https://www.sec.gov/cgi-bin/browse-edgar?action=getcompany&amp;CIK=BABA&amp;type=20-F&amp;dateb=&amp;owner=include&amp;count=10" TargetMode="External"/><Relationship Id="rId24" Type="http://schemas.openxmlformats.org/officeDocument/2006/relationships/hyperlink" Target="https://www.alizila.com/aliviews-eddie-wu-on-alibabas-q3-earnings/" TargetMode="External"/><Relationship Id="rId25" Type="http://schemas.openxmlformats.org/officeDocument/2006/relationships/hyperlink" Target="https://www.alphaspread.com/market-news/earnings/alibaba-misses-revenue-estimates-as-net-income-plunges-66-ai-and-cloud-see-strong-growth" TargetMode="External"/><Relationship Id="rId26" Type="http://schemas.openxmlformats.org/officeDocument/2006/relationships/hyperlink" Target="https://news.alphastreet.com/key-metrics-from-alibaba-groups-baba-q3-2025-earnings-resul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