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color w:val="003087"/>
          <w:sz w:val="36"/>
        </w:rPr>
        <w:t>ImmunityBio (IBRX) — Q4 &amp; FY2025 Earnings Update</w:t>
      </w:r>
    </w:p>
    <w:p>
      <w:pPr>
        <w:spacing w:after="40"/>
      </w:pPr>
      <w:r>
        <w:rPr>
          <w:rFonts w:ascii="Times New Roman" w:hAnsi="Times New Roman"/>
          <w:color w:val="5E6A71"/>
          <w:sz w:val="20"/>
        </w:rPr>
        <w:t>March 17, 2026  |  Equity Research  |  Biopharmaceuticals</w:t>
      </w:r>
    </w:p>
    <w:p>
      <w:pPr>
        <w:spacing w:after="120"/>
      </w:pPr>
      <w:r>
        <w:rPr>
          <w:rFonts w:ascii="Times New Roman" w:hAnsi="Times New Roman"/>
          <w:b/>
          <w:color w:val="1A7A4A"/>
          <w:sz w:val="22"/>
        </w:rPr>
        <w:t>Rating: OUTPERFORM  |  Price Target: $12.00  (from $7.00)  |  Current Price: ~$8.30</w:t>
      </w:r>
    </w:p>
    <w:p>
      <w:pPr>
        <w:spacing w:before="80" w:after="80"/>
        <w:pBdr>
          <w:bottom w:val="single" w:sz="4" w:space="1" w:color="003087"/>
        </w:pBdr>
      </w:pPr>
    </w:p>
    <w:p>
      <w:pPr>
        <w:spacing w:before="120" w:after="80"/>
      </w:pPr>
      <w:r>
        <w:rPr>
          <w:rFonts w:ascii="Times New Roman" w:hAnsi="Times New Roman"/>
          <w:b/>
          <w:color w:val="003087"/>
          <w:sz w:val="22"/>
        </w:rPr>
        <w:t>KEY TAKEAWAYS</w:t>
      </w:r>
    </w:p>
    <w:p>
      <w:pPr>
        <w:pStyle w:val="ListBullet"/>
        <w:spacing w:before="20" w:after="20"/>
        <w:ind w:left="432"/>
      </w:pPr>
      <w:r>
        <w:rPr>
          <w:rFonts w:ascii="Times New Roman" w:hAnsi="Times New Roman"/>
          <w:sz w:val="20"/>
        </w:rPr>
        <w:t>Revenue BEAT: Q4 net product revenue of $38.3M (+9.4% vs. ~$35M consensus); FY2025 $113.3M, +621% YoY</w:t>
      </w:r>
    </w:p>
    <w:p>
      <w:pPr>
        <w:pStyle w:val="ListBullet"/>
        <w:spacing w:before="20" w:after="20"/>
        <w:ind w:left="432"/>
      </w:pPr>
      <w:r>
        <w:rPr>
          <w:rFonts w:ascii="Times New Roman" w:hAnsi="Times New Roman"/>
          <w:sz w:val="20"/>
        </w:rPr>
        <w:t>EPS BEAT: Q4 net loss of ($0.06)/share vs. consensus ($0.09), a 33% beat driven by SG&amp;A efficiency</w:t>
      </w:r>
    </w:p>
    <w:p>
      <w:pPr>
        <w:pStyle w:val="ListBullet"/>
        <w:spacing w:before="20" w:after="20"/>
        <w:ind w:left="432"/>
      </w:pPr>
      <w:r>
        <w:rPr>
          <w:rFonts w:ascii="Times New Roman" w:hAnsi="Times New Roman"/>
          <w:sz w:val="20"/>
        </w:rPr>
        <w:t>ANKTIVA commercial ramp continues: Q4 marks the 5th consecutive quarter of sequential growth since J-code (Jan 2025)</w:t>
      </w:r>
    </w:p>
    <w:p>
      <w:pPr>
        <w:pStyle w:val="ListBullet"/>
        <w:spacing w:before="20" w:after="20"/>
        <w:ind w:left="432"/>
      </w:pPr>
      <w:r>
        <w:rPr>
          <w:rFonts w:ascii="Times New Roman" w:hAnsi="Times New Roman"/>
          <w:sz w:val="20"/>
        </w:rPr>
        <w:t>Pipeline catalyst-rich: BCG-Naïve interim CR 84% vs. 52% (p=0.0455); sBLA resubmitted March 9, 2026; SFDA NSCLC approval in Saudi Arabia</w:t>
      </w:r>
    </w:p>
    <w:p>
      <w:pPr>
        <w:pStyle w:val="ListBullet"/>
        <w:spacing w:before="20" w:after="20"/>
        <w:ind w:left="432"/>
      </w:pPr>
      <w:r>
        <w:rPr>
          <w:rFonts w:ascii="Times New Roman" w:hAnsi="Times New Roman"/>
          <w:sz w:val="20"/>
        </w:rPr>
        <w:t>RISK: Cash of $242.8M against ~$305M annual burn — financing likely needed in H2 2026; stock fell ~13% post-print on dilution overhang</w:t>
      </w:r>
    </w:p>
    <w:p>
      <w:pPr>
        <w:pStyle w:val="ListBullet"/>
        <w:spacing w:before="20" w:after="20"/>
        <w:ind w:left="432"/>
      </w:pPr>
      <w:r>
        <w:rPr>
          <w:rFonts w:ascii="Times New Roman" w:hAnsi="Times New Roman"/>
          <w:sz w:val="20"/>
        </w:rPr>
        <w:t>Maintain OUTPERFORM; raise price target to $12.00 from $7.00 reflecting faster-than-expected ANKTIVA commercialization</w:t>
      </w:r>
    </w:p>
    <w:p>
      <w:pPr>
        <w:spacing w:before="80" w:after="80"/>
        <w:pBdr>
          <w:bottom w:val="single" w:sz="4" w:space="1" w:color="003087"/>
        </w:pBdr>
      </w:pPr>
    </w:p>
    <w:p>
      <w:pPr>
        <w:spacing w:before="120" w:after="80"/>
      </w:pPr>
      <w:r>
        <w:rPr>
          <w:rFonts w:ascii="Times New Roman" w:hAnsi="Times New Roman"/>
          <w:b/>
          <w:color w:val="003087"/>
          <w:sz w:val="22"/>
        </w:rPr>
        <w:t>RESULTS SNAPSHOT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087"/>
          </w:tcPr>
          <w:p>
            <w:pPr>
              <w:jc w:val="center"/>
            </w:pPr>
            <w:r>
              <w:rPr>
                <w:rFonts w:ascii="Times New Roman" w:hAnsi="Times New Roman"/>
                <w:b/>
                <w:color w:val="FFFFFF"/>
                <w:sz w:val="18"/>
              </w:rPr>
              <w:t>Metric</w:t>
            </w:r>
          </w:p>
        </w:tc>
        <w:tc>
          <w:tcPr>
            <w:tcW w:type="dxa" w:w="1872"/>
            <w:shd w:val="clear" w:color="auto" w:fill="003087"/>
          </w:tcPr>
          <w:p>
            <w:pPr>
              <w:jc w:val="center"/>
            </w:pPr>
            <w:r>
              <w:rPr>
                <w:rFonts w:ascii="Times New Roman" w:hAnsi="Times New Roman"/>
                <w:b/>
                <w:color w:val="FFFFFF"/>
                <w:sz w:val="18"/>
              </w:rPr>
              <w:t>Q4 2025 Actual</w:t>
            </w:r>
          </w:p>
        </w:tc>
        <w:tc>
          <w:tcPr>
            <w:tcW w:type="dxa" w:w="1872"/>
            <w:shd w:val="clear" w:color="auto" w:fill="003087"/>
          </w:tcPr>
          <w:p>
            <w:pPr>
              <w:jc w:val="center"/>
            </w:pPr>
            <w:r>
              <w:rPr>
                <w:rFonts w:ascii="Times New Roman" w:hAnsi="Times New Roman"/>
                <w:b/>
                <w:color w:val="FFFFFF"/>
                <w:sz w:val="18"/>
              </w:rPr>
              <w:t>Consensus Est.</w:t>
            </w:r>
          </w:p>
        </w:tc>
        <w:tc>
          <w:tcPr>
            <w:tcW w:type="dxa" w:w="1872"/>
            <w:shd w:val="clear" w:color="auto" w:fill="003087"/>
          </w:tcPr>
          <w:p>
            <w:pPr>
              <w:jc w:val="center"/>
            </w:pPr>
            <w:r>
              <w:rPr>
                <w:rFonts w:ascii="Times New Roman" w:hAnsi="Times New Roman"/>
                <w:b/>
                <w:color w:val="FFFFFF"/>
                <w:sz w:val="18"/>
              </w:rPr>
              <w:t>Beat / Miss</w:t>
            </w:r>
          </w:p>
        </w:tc>
        <w:tc>
          <w:tcPr>
            <w:tcW w:type="dxa" w:w="1872"/>
            <w:shd w:val="clear" w:color="auto" w:fill="003087"/>
          </w:tcPr>
          <w:p>
            <w:pPr>
              <w:jc w:val="center"/>
            </w:pPr>
            <w:r>
              <w:rPr>
                <w:rFonts w:ascii="Times New Roman" w:hAnsi="Times New Roman"/>
                <w:b/>
                <w:color w:val="FFFFFF"/>
                <w:sz w:val="18"/>
              </w:rPr>
              <w:t>YoY Change</w:t>
            </w:r>
          </w:p>
        </w:tc>
      </w:tr>
      <w:tr>
        <w:tc>
          <w:tcPr>
            <w:tcW w:type="dxa" w:w="1872"/>
          </w:tcPr>
          <w:p>
            <w:r>
              <w:rPr>
                <w:rFonts w:ascii="Times New Roman" w:hAnsi="Times New Roman"/>
                <w:sz w:val="18"/>
              </w:rPr>
              <w:t>Net Product Revenue</w:t>
            </w:r>
          </w:p>
        </w:tc>
        <w:tc>
          <w:tcPr>
            <w:tcW w:type="dxa" w:w="1872"/>
          </w:tcPr>
          <w:p>
            <w:r>
              <w:rPr>
                <w:rFonts w:ascii="Times New Roman" w:hAnsi="Times New Roman"/>
                <w:sz w:val="18"/>
              </w:rPr>
              <w:t>$38.3M</w:t>
            </w:r>
          </w:p>
        </w:tc>
        <w:tc>
          <w:tcPr>
            <w:tcW w:type="dxa" w:w="1872"/>
          </w:tcPr>
          <w:p>
            <w:r>
              <w:rPr>
                <w:rFonts w:ascii="Times New Roman" w:hAnsi="Times New Roman"/>
                <w:sz w:val="18"/>
              </w:rPr>
              <w:t>~$35.0M</w:t>
            </w:r>
          </w:p>
        </w:tc>
        <w:tc>
          <w:tcPr>
            <w:tcW w:type="dxa" w:w="1872"/>
          </w:tcPr>
          <w:p>
            <w:r>
              <w:rPr>
                <w:rFonts w:ascii="Times New Roman" w:hAnsi="Times New Roman"/>
                <w:sz w:val="18"/>
              </w:rPr>
              <w:t>+$3.3M (+9.4%)</w:t>
            </w:r>
          </w:p>
        </w:tc>
        <w:tc>
          <w:tcPr>
            <w:tcW w:type="dxa" w:w="1872"/>
          </w:tcPr>
          <w:p>
            <w:r>
              <w:rPr>
                <w:rFonts w:ascii="Times New Roman" w:hAnsi="Times New Roman"/>
                <w:sz w:val="18"/>
              </w:rPr>
              <w:t>+$31.1M (+432%)</w:t>
            </w:r>
          </w:p>
        </w:tc>
      </w:tr>
      <w:tr>
        <w:tc>
          <w:tcPr>
            <w:tcW w:type="dxa" w:w="1872"/>
            <w:shd w:val="clear" w:color="auto" w:fill="E8EDF7"/>
          </w:tcPr>
          <w:p>
            <w:r>
              <w:rPr>
                <w:rFonts w:ascii="Times New Roman" w:hAnsi="Times New Roman"/>
                <w:sz w:val="18"/>
              </w:rPr>
              <w:t>FY2025 Revenue</w:t>
            </w:r>
          </w:p>
        </w:tc>
        <w:tc>
          <w:tcPr>
            <w:tcW w:type="dxa" w:w="1872"/>
            <w:shd w:val="clear" w:color="auto" w:fill="E8EDF7"/>
          </w:tcPr>
          <w:p>
            <w:r>
              <w:rPr>
                <w:rFonts w:ascii="Times New Roman" w:hAnsi="Times New Roman"/>
                <w:sz w:val="18"/>
              </w:rPr>
              <w:t>$113.3M</w:t>
            </w:r>
          </w:p>
        </w:tc>
        <w:tc>
          <w:tcPr>
            <w:tcW w:type="dxa" w:w="1872"/>
            <w:shd w:val="clear" w:color="auto" w:fill="E8EDF7"/>
          </w:tcPr>
          <w:p>
            <w:r>
              <w:rPr>
                <w:rFonts w:ascii="Times New Roman" w:hAnsi="Times New Roman"/>
                <w:sz w:val="18"/>
              </w:rPr>
              <w:t>~$105.0M</w:t>
            </w:r>
          </w:p>
        </w:tc>
        <w:tc>
          <w:tcPr>
            <w:tcW w:type="dxa" w:w="1872"/>
            <w:shd w:val="clear" w:color="auto" w:fill="E8EDF7"/>
          </w:tcPr>
          <w:p>
            <w:r>
              <w:rPr>
                <w:rFonts w:ascii="Times New Roman" w:hAnsi="Times New Roman"/>
                <w:sz w:val="18"/>
              </w:rPr>
              <w:t>+$8.3M (+7.9%)</w:t>
            </w:r>
          </w:p>
        </w:tc>
        <w:tc>
          <w:tcPr>
            <w:tcW w:type="dxa" w:w="1872"/>
            <w:shd w:val="clear" w:color="auto" w:fill="E8EDF7"/>
          </w:tcPr>
          <w:p>
            <w:r>
              <w:rPr>
                <w:rFonts w:ascii="Times New Roman" w:hAnsi="Times New Roman"/>
                <w:sz w:val="18"/>
              </w:rPr>
              <w:t>+$97.6M (+621%)</w:t>
            </w:r>
          </w:p>
        </w:tc>
      </w:tr>
      <w:tr>
        <w:tc>
          <w:tcPr>
            <w:tcW w:type="dxa" w:w="1872"/>
          </w:tcPr>
          <w:p>
            <w:r>
              <w:rPr>
                <w:rFonts w:ascii="Times New Roman" w:hAnsi="Times New Roman"/>
                <w:sz w:val="18"/>
              </w:rPr>
              <w:t>Net Loss (Q4)</w:t>
            </w:r>
          </w:p>
        </w:tc>
        <w:tc>
          <w:tcPr>
            <w:tcW w:type="dxa" w:w="1872"/>
          </w:tcPr>
          <w:p>
            <w:r>
              <w:rPr>
                <w:rFonts w:ascii="Times New Roman" w:hAnsi="Times New Roman"/>
                <w:sz w:val="18"/>
              </w:rPr>
              <w:t>($61.9M)</w:t>
            </w:r>
          </w:p>
        </w:tc>
        <w:tc>
          <w:tcPr>
            <w:tcW w:type="dxa" w:w="1872"/>
          </w:tcPr>
          <w:p>
            <w:r>
              <w:rPr>
                <w:rFonts w:ascii="Times New Roman" w:hAnsi="Times New Roman"/>
                <w:sz w:val="18"/>
              </w:rPr>
              <w:t>—</w:t>
            </w:r>
          </w:p>
        </w:tc>
        <w:tc>
          <w:tcPr>
            <w:tcW w:type="dxa" w:w="1872"/>
          </w:tcPr>
          <w:p>
            <w:r>
              <w:rPr>
                <w:rFonts w:ascii="Times New Roman" w:hAnsi="Times New Roman"/>
                <w:sz w:val="18"/>
              </w:rPr>
              <w:t>Adj. better than est.</w:t>
            </w:r>
          </w:p>
        </w:tc>
        <w:tc>
          <w:tcPr>
            <w:tcW w:type="dxa" w:w="1872"/>
          </w:tcPr>
          <w:p>
            <w:r>
              <w:rPr>
                <w:rFonts w:ascii="Times New Roman" w:hAnsi="Times New Roman"/>
                <w:sz w:val="18"/>
              </w:rPr>
              <w:t>vs. ($70.5M) Q4'24</w:t>
            </w:r>
          </w:p>
        </w:tc>
      </w:tr>
      <w:tr>
        <w:tc>
          <w:tcPr>
            <w:tcW w:type="dxa" w:w="1872"/>
            <w:shd w:val="clear" w:color="auto" w:fill="E8EDF7"/>
          </w:tcPr>
          <w:p>
            <w:r>
              <w:rPr>
                <w:rFonts w:ascii="Times New Roman" w:hAnsi="Times New Roman"/>
                <w:sz w:val="18"/>
              </w:rPr>
              <w:t>EPS (Q4)</w:t>
            </w:r>
          </w:p>
        </w:tc>
        <w:tc>
          <w:tcPr>
            <w:tcW w:type="dxa" w:w="1872"/>
            <w:shd w:val="clear" w:color="auto" w:fill="E8EDF7"/>
          </w:tcPr>
          <w:p>
            <w:r>
              <w:rPr>
                <w:rFonts w:ascii="Times New Roman" w:hAnsi="Times New Roman"/>
                <w:sz w:val="18"/>
              </w:rPr>
              <w:t>($0.06)</w:t>
            </w:r>
          </w:p>
        </w:tc>
        <w:tc>
          <w:tcPr>
            <w:tcW w:type="dxa" w:w="1872"/>
            <w:shd w:val="clear" w:color="auto" w:fill="E8EDF7"/>
          </w:tcPr>
          <w:p>
            <w:r>
              <w:rPr>
                <w:rFonts w:ascii="Times New Roman" w:hAnsi="Times New Roman"/>
                <w:sz w:val="18"/>
              </w:rPr>
              <w:t>($0.085)–($0.09)</w:t>
            </w:r>
          </w:p>
        </w:tc>
        <w:tc>
          <w:tcPr>
            <w:tcW w:type="dxa" w:w="1872"/>
          </w:tcPr>
          <w:p>
            <w:r>
              <w:rPr>
                <w:rFonts w:ascii="Times New Roman" w:hAnsi="Times New Roman"/>
                <w:b/>
                <w:color w:val="1A7A4A"/>
                <w:sz w:val="18"/>
              </w:rPr>
              <w:t>Beat +$0.025 (+33%)</w:t>
            </w:r>
          </w:p>
        </w:tc>
        <w:tc>
          <w:tcPr>
            <w:tcW w:type="dxa" w:w="1872"/>
            <w:shd w:val="clear" w:color="auto" w:fill="E8EDF7"/>
          </w:tcPr>
          <w:p>
            <w:r>
              <w:rPr>
                <w:rFonts w:ascii="Times New Roman" w:hAnsi="Times New Roman"/>
                <w:sz w:val="18"/>
              </w:rPr>
              <w:t>—</w:t>
            </w:r>
          </w:p>
        </w:tc>
      </w:tr>
      <w:tr>
        <w:tc>
          <w:tcPr>
            <w:tcW w:type="dxa" w:w="1872"/>
          </w:tcPr>
          <w:p>
            <w:r>
              <w:rPr>
                <w:rFonts w:ascii="Times New Roman" w:hAnsi="Times New Roman"/>
                <w:sz w:val="18"/>
              </w:rPr>
              <w:t>Cash &amp; Eq. (Dec 31)</w:t>
            </w:r>
          </w:p>
        </w:tc>
        <w:tc>
          <w:tcPr>
            <w:tcW w:type="dxa" w:w="1872"/>
          </w:tcPr>
          <w:p>
            <w:r>
              <w:rPr>
                <w:rFonts w:ascii="Times New Roman" w:hAnsi="Times New Roman"/>
                <w:sz w:val="18"/>
              </w:rPr>
              <w:t>$242.8M</w:t>
            </w:r>
          </w:p>
        </w:tc>
        <w:tc>
          <w:tcPr>
            <w:tcW w:type="dxa" w:w="1872"/>
          </w:tcPr>
          <w:p>
            <w:r>
              <w:rPr>
                <w:rFonts w:ascii="Times New Roman" w:hAnsi="Times New Roman"/>
                <w:sz w:val="18"/>
              </w:rPr>
              <w:t>—</w:t>
            </w:r>
          </w:p>
        </w:tc>
        <w:tc>
          <w:tcPr>
            <w:tcW w:type="dxa" w:w="1872"/>
          </w:tcPr>
          <w:p>
            <w:r>
              <w:rPr>
                <w:rFonts w:ascii="Times New Roman" w:hAnsi="Times New Roman"/>
                <w:sz w:val="18"/>
              </w:rPr>
              <w:t>—</w:t>
            </w:r>
          </w:p>
        </w:tc>
        <w:tc>
          <w:tcPr>
            <w:tcW w:type="dxa" w:w="1872"/>
          </w:tcPr>
          <w:p>
            <w:r>
              <w:rPr>
                <w:rFonts w:ascii="Times New Roman" w:hAnsi="Times New Roman"/>
                <w:sz w:val="18"/>
              </w:rPr>
              <w:t>vs. $288M Dec 2024</w:t>
            </w:r>
          </w:p>
        </w:tc>
      </w:tr>
      <w:tr>
        <w:tc>
          <w:tcPr>
            <w:tcW w:type="dxa" w:w="1872"/>
            <w:shd w:val="clear" w:color="auto" w:fill="E8EDF7"/>
          </w:tcPr>
          <w:p>
            <w:r>
              <w:rPr>
                <w:rFonts w:ascii="Times New Roman" w:hAnsi="Times New Roman"/>
                <w:sz w:val="18"/>
              </w:rPr>
              <w:t>Q1'26 Revenue Guide</w:t>
            </w:r>
          </w:p>
        </w:tc>
        <w:tc>
          <w:tcPr>
            <w:tcW w:type="dxa" w:w="1872"/>
            <w:shd w:val="clear" w:color="auto" w:fill="E8EDF7"/>
          </w:tcPr>
          <w:p>
            <w:r>
              <w:rPr>
                <w:rFonts w:ascii="Times New Roman" w:hAnsi="Times New Roman"/>
                <w:sz w:val="18"/>
              </w:rPr>
              <w:t>Not given</w:t>
            </w:r>
          </w:p>
        </w:tc>
        <w:tc>
          <w:tcPr>
            <w:tcW w:type="dxa" w:w="1872"/>
            <w:shd w:val="clear" w:color="auto" w:fill="E8EDF7"/>
          </w:tcPr>
          <w:p>
            <w:r>
              <w:rPr>
                <w:rFonts w:ascii="Times New Roman" w:hAnsi="Times New Roman"/>
                <w:sz w:val="18"/>
              </w:rPr>
              <w:t>~$43M+</w:t>
            </w:r>
          </w:p>
        </w:tc>
        <w:tc>
          <w:tcPr>
            <w:tcW w:type="dxa" w:w="1872"/>
            <w:shd w:val="clear" w:color="auto" w:fill="E8EDF7"/>
          </w:tcPr>
          <w:p>
            <w:r>
              <w:rPr>
                <w:rFonts w:ascii="Times New Roman" w:hAnsi="Times New Roman"/>
                <w:sz w:val="18"/>
              </w:rPr>
              <w:t>In-line implied</w:t>
            </w:r>
          </w:p>
        </w:tc>
        <w:tc>
          <w:tcPr>
            <w:tcW w:type="dxa" w:w="1872"/>
            <w:shd w:val="clear" w:color="auto" w:fill="E8EDF7"/>
          </w:tcPr>
          <w:p>
            <w:r>
              <w:rPr>
                <w:rFonts w:ascii="Times New Roman" w:hAnsi="Times New Roman"/>
                <w:sz w:val="18"/>
              </w:rPr>
              <w:t>Growth trajectory intact</w:t>
            </w:r>
          </w:p>
        </w:tc>
      </w:tr>
    </w:tbl>
    <w:p/>
    <w:p>
      <w:r>
        <w:br w:type="page"/>
      </w:r>
    </w:p>
    <w:p>
      <w:pPr>
        <w:spacing w:before="200" w:after="80"/>
      </w:pPr>
      <w:r>
        <w:rPr>
          <w:rFonts w:ascii="Times New Roman" w:hAnsi="Times New Roman"/>
          <w:b/>
          <w:color w:val="003087"/>
          <w:sz w:val="28"/>
        </w:rPr>
        <w:t>1. REVENUE &amp; COMMERCIAL PERFORMANCE</w:t>
      </w:r>
    </w:p>
    <w:p>
      <w:pPr>
        <w:spacing w:before="80" w:after="80"/>
        <w:pBdr>
          <w:bottom w:val="single" w:sz="4" w:space="1" w:color="003087"/>
        </w:pBdr>
      </w:pPr>
    </w:p>
    <w:p>
      <w:pPr>
        <w:spacing w:before="120" w:after="80"/>
      </w:pPr>
      <w:r>
        <w:rPr>
          <w:rFonts w:ascii="Times New Roman" w:hAnsi="Times New Roman"/>
          <w:b/>
          <w:color w:val="003087"/>
          <w:sz w:val="22"/>
        </w:rPr>
        <w:t>1.1 Quarterly Revenue Trend</w:t>
      </w:r>
    </w:p>
    <w:p>
      <w:pPr>
        <w:spacing w:before="40" w:after="40"/>
      </w:pPr>
      <w:r>
        <w:rPr>
          <w:rFonts w:ascii="Times New Roman" w:hAnsi="Times New Roman"/>
          <w:b w:val="0"/>
          <w:sz w:val="20"/>
        </w:rPr>
        <w:t>ANKTIVA (N-803 + BCG) net product revenue reached $38.3M in Q4 2025, up 20% sequentially from Q3 2025 ($32.1M) and +432% year-over-year from Q4 2024 ($7.2M). The result exceeded the Street consensus of approximately $35M by 9.4%, continuing an unbroken streak of quarterly sequential gains since the permanent J-code (J9028) became effective January 1, 2025.</w:t>
      </w:r>
    </w:p>
    <w:p>
      <w:pPr>
        <w:jc w:val="center"/>
      </w:pPr>
      <w:r>
        <w:drawing>
          <wp:inline xmlns:a="http://schemas.openxmlformats.org/drawingml/2006/main" xmlns:pic="http://schemas.openxmlformats.org/drawingml/2006/picture">
            <wp:extent cx="5029200" cy="2851658"/>
            <wp:docPr id="1" name="Picture 1"/>
            <wp:cNvGraphicFramePr>
              <a:graphicFrameLocks noChangeAspect="1"/>
            </wp:cNvGraphicFramePr>
            <a:graphic>
              <a:graphicData uri="http://schemas.openxmlformats.org/drawingml/2006/picture">
                <pic:pic>
                  <pic:nvPicPr>
                    <pic:cNvPr id="0" name="ibrx_chart1_revenue.png"/>
                    <pic:cNvPicPr/>
                  </pic:nvPicPr>
                  <pic:blipFill>
                    <a:blip r:embed="rId9"/>
                    <a:stretch>
                      <a:fillRect/>
                    </a:stretch>
                  </pic:blipFill>
                  <pic:spPr>
                    <a:xfrm>
                      <a:off x="0" y="0"/>
                      <a:ext cx="5029200" cy="2851658"/>
                    </a:xfrm>
                    <a:prstGeom prst="rect"/>
                  </pic:spPr>
                </pic:pic>
              </a:graphicData>
            </a:graphic>
          </wp:inline>
        </w:drawing>
      </w:r>
    </w:p>
    <w:p>
      <w:pPr>
        <w:spacing w:before="40" w:after="40"/>
      </w:pPr>
      <w:r>
        <w:rPr>
          <w:rFonts w:ascii="Times New Roman" w:hAnsi="Times New Roman"/>
          <w:b w:val="0"/>
          <w:color w:val="5E6A71"/>
          <w:sz w:val="16"/>
        </w:rPr>
        <w:t>Figure 1: ANKTIVA Net Product Revenue by Quarter ($M) | Source: ImmunityBio Press Releases</w:t>
      </w:r>
    </w:p>
    <w:p/>
    <w:p>
      <w:pPr>
        <w:spacing w:before="120" w:after="80"/>
      </w:pPr>
      <w:r>
        <w:rPr>
          <w:rFonts w:ascii="Times New Roman" w:hAnsi="Times New Roman"/>
          <w:b/>
          <w:color w:val="003087"/>
          <w:sz w:val="22"/>
        </w:rPr>
        <w:t>1.2 The J-Code Inflection</w:t>
      </w:r>
    </w:p>
    <w:p>
      <w:pPr>
        <w:spacing w:before="40" w:after="40"/>
      </w:pPr>
      <w:r>
        <w:rPr>
          <w:rFonts w:ascii="Times New Roman" w:hAnsi="Times New Roman"/>
          <w:b w:val="0"/>
          <w:sz w:val="20"/>
        </w:rPr>
        <w:t>The most significant commercial milestone was the assignment of a permanent J-code (J9028) effective January 1, 2025. J-codes are CMS billing codes for physician-administered drugs; their absence forces clinics to use expensive and time-consuming 'miscellaneous' billing, which created a meaningful adoption barrier for community urology practices in 2024. The J-code resolved this, triggering the 129% quarter-over-quarter revenue acceleration seen in Q1 2025 and setting the stage for the full-year ramp to $113M.</w:t>
      </w:r>
    </w:p>
    <w:p>
      <w:pPr>
        <w:jc w:val="center"/>
      </w:pPr>
      <w:r>
        <w:drawing>
          <wp:inline xmlns:a="http://schemas.openxmlformats.org/drawingml/2006/main" xmlns:pic="http://schemas.openxmlformats.org/drawingml/2006/picture">
            <wp:extent cx="5029200" cy="2848911"/>
            <wp:docPr id="2" name="Picture 2"/>
            <wp:cNvGraphicFramePr>
              <a:graphicFrameLocks noChangeAspect="1"/>
            </wp:cNvGraphicFramePr>
            <a:graphic>
              <a:graphicData uri="http://schemas.openxmlformats.org/drawingml/2006/picture">
                <pic:pic>
                  <pic:nvPicPr>
                    <pic:cNvPr id="0" name="ibrx_chart2_qoq_growth.png"/>
                    <pic:cNvPicPr/>
                  </pic:nvPicPr>
                  <pic:blipFill>
                    <a:blip r:embed="rId10"/>
                    <a:stretch>
                      <a:fillRect/>
                    </a:stretch>
                  </pic:blipFill>
                  <pic:spPr>
                    <a:xfrm>
                      <a:off x="0" y="0"/>
                      <a:ext cx="5029200" cy="2848911"/>
                    </a:xfrm>
                    <a:prstGeom prst="rect"/>
                  </pic:spPr>
                </pic:pic>
              </a:graphicData>
            </a:graphic>
          </wp:inline>
        </w:drawing>
      </w:r>
    </w:p>
    <w:p>
      <w:pPr>
        <w:spacing w:before="40" w:after="40"/>
      </w:pPr>
      <w:r>
        <w:rPr>
          <w:rFonts w:ascii="Times New Roman" w:hAnsi="Times New Roman"/>
          <w:b w:val="0"/>
          <w:color w:val="5E6A71"/>
          <w:sz w:val="16"/>
        </w:rPr>
        <w:t>Figure 2: QoQ Revenue Growth (%) by Quarter | Source: ImmunityBio, Company Reports</w:t>
      </w:r>
    </w:p>
    <w:p>
      <w:pPr>
        <w:spacing w:before="120" w:after="80"/>
      </w:pPr>
      <w:r>
        <w:rPr>
          <w:rFonts w:ascii="Times New Roman" w:hAnsi="Times New Roman"/>
          <w:b/>
          <w:color w:val="003087"/>
          <w:sz w:val="22"/>
        </w:rPr>
        <w:t>1.3 Full-Year 2025 Performance</w:t>
      </w:r>
    </w:p>
    <w:p>
      <w:pPr>
        <w:spacing w:before="40" w:after="40"/>
      </w:pPr>
      <w:r>
        <w:rPr>
          <w:rFonts w:ascii="Times New Roman" w:hAnsi="Times New Roman"/>
          <w:b w:val="0"/>
          <w:sz w:val="20"/>
        </w:rPr>
        <w:t>Full-year 2025 net product revenue of $113.3M represented 621% growth year-over-year from $15.7M in FY2024, beating pre-announcement consensus of approximately $105M. This was validated by management's preliminary revenue announcement in January 2026 prior to the formal earnings call. The ramp was driven by:</w:t>
      </w:r>
    </w:p>
    <w:p>
      <w:pPr>
        <w:pStyle w:val="ListBullet"/>
        <w:spacing w:before="20" w:after="20"/>
        <w:ind w:left="432"/>
      </w:pPr>
      <w:r>
        <w:rPr>
          <w:rFonts w:ascii="Times New Roman" w:hAnsi="Times New Roman"/>
          <w:sz w:val="20"/>
        </w:rPr>
        <w:t>Permanent J-code enabling frictionless reimbursement at community urology practices (~75% of U.S. bladder cancer treatment occurs outside academic centers)</w:t>
      </w:r>
    </w:p>
    <w:p>
      <w:pPr>
        <w:pStyle w:val="ListBullet"/>
        <w:spacing w:before="20" w:after="20"/>
        <w:ind w:left="432"/>
      </w:pPr>
      <w:r>
        <w:rPr>
          <w:rFonts w:ascii="Times New Roman" w:hAnsi="Times New Roman"/>
          <w:sz w:val="20"/>
        </w:rPr>
        <w:t>Expanded prescriber base: both community urologists and academic centers building repeat prescription habits</w:t>
      </w:r>
    </w:p>
    <w:p>
      <w:pPr>
        <w:pStyle w:val="ListBullet"/>
        <w:spacing w:before="20" w:after="20"/>
        <w:ind w:left="432"/>
      </w:pPr>
      <w:r>
        <w:rPr>
          <w:rFonts w:ascii="Times New Roman" w:hAnsi="Times New Roman"/>
          <w:sz w:val="20"/>
        </w:rPr>
        <w:t>Approximately 580 patients enrolled in the rBCG expanded-access program, broadening the addressable patient universe</w:t>
      </w:r>
    </w:p>
    <w:p>
      <w:pPr>
        <w:pStyle w:val="ListBullet"/>
        <w:spacing w:before="20" w:after="20"/>
        <w:ind w:left="432"/>
      </w:pPr>
      <w:r>
        <w:rPr>
          <w:rFonts w:ascii="Times New Roman" w:hAnsi="Times New Roman"/>
          <w:sz w:val="20"/>
        </w:rPr>
        <w:t>NCCN inclusion as a 'Recommended' agent, reducing insurer prior authorization hurdles</w:t>
      </w:r>
    </w:p>
    <w:p>
      <w:pPr>
        <w:jc w:val="center"/>
      </w:pPr>
      <w:r>
        <w:drawing>
          <wp:inline xmlns:a="http://schemas.openxmlformats.org/drawingml/2006/main" xmlns:pic="http://schemas.openxmlformats.org/drawingml/2006/picture">
            <wp:extent cx="4572000" cy="3030818"/>
            <wp:docPr id="3" name="Picture 3"/>
            <wp:cNvGraphicFramePr>
              <a:graphicFrameLocks noChangeAspect="1"/>
            </wp:cNvGraphicFramePr>
            <a:graphic>
              <a:graphicData uri="http://schemas.openxmlformats.org/drawingml/2006/picture">
                <pic:pic>
                  <pic:nvPicPr>
                    <pic:cNvPr id="0" name="ibrx_chart5_annual_rev.png"/>
                    <pic:cNvPicPr/>
                  </pic:nvPicPr>
                  <pic:blipFill>
                    <a:blip r:embed="rId11"/>
                    <a:stretch>
                      <a:fillRect/>
                    </a:stretch>
                  </pic:blipFill>
                  <pic:spPr>
                    <a:xfrm>
                      <a:off x="0" y="0"/>
                      <a:ext cx="4572000" cy="3030818"/>
                    </a:xfrm>
                    <a:prstGeom prst="rect"/>
                  </pic:spPr>
                </pic:pic>
              </a:graphicData>
            </a:graphic>
          </wp:inline>
        </w:drawing>
      </w:r>
    </w:p>
    <w:p>
      <w:pPr>
        <w:spacing w:before="40" w:after="40"/>
      </w:pPr>
      <w:r>
        <w:rPr>
          <w:rFonts w:ascii="Times New Roman" w:hAnsi="Times New Roman"/>
          <w:b w:val="0"/>
          <w:color w:val="5E6A71"/>
          <w:sz w:val="16"/>
        </w:rPr>
        <w:t>Figure 3: Annual Revenue Ramp FY2024–FY2026E ($M) | Source: Company Reports, Piper Sandler Estimates</w:t>
      </w:r>
    </w:p>
    <w:p>
      <w:r>
        <w:br w:type="page"/>
      </w:r>
    </w:p>
    <w:p>
      <w:pPr>
        <w:spacing w:before="200" w:after="80"/>
      </w:pPr>
      <w:r>
        <w:rPr>
          <w:rFonts w:ascii="Times New Roman" w:hAnsi="Times New Roman"/>
          <w:b/>
          <w:color w:val="003087"/>
          <w:sz w:val="28"/>
        </w:rPr>
        <w:t>2. FINANCIAL METRICS &amp; EXPENSE ANALYSIS</w:t>
      </w:r>
    </w:p>
    <w:p>
      <w:pPr>
        <w:spacing w:before="80" w:after="80"/>
        <w:pBdr>
          <w:bottom w:val="single" w:sz="4" w:space="1" w:color="003087"/>
        </w:pBdr>
      </w:pPr>
    </w:p>
    <w:p>
      <w:pPr>
        <w:spacing w:before="120" w:after="80"/>
      </w:pPr>
      <w:r>
        <w:rPr>
          <w:rFonts w:ascii="Times New Roman" w:hAnsi="Times New Roman"/>
          <w:b/>
          <w:color w:val="003087"/>
          <w:sz w:val="22"/>
        </w:rPr>
        <w:t>2.1 Operating Expense Discipline</w:t>
      </w:r>
    </w:p>
    <w:p>
      <w:pPr>
        <w:spacing w:before="40" w:after="40"/>
      </w:pPr>
      <w:r>
        <w:rPr>
          <w:rFonts w:ascii="Times New Roman" w:hAnsi="Times New Roman"/>
          <w:b w:val="0"/>
          <w:sz w:val="20"/>
        </w:rPr>
        <w:t>A key highlight of FY2025 was the significant SG&amp;A leverage achieved while revenue scaled. SG&amp;A declined $18.8M year-over-year (–11%) to $150.0M while revenue grew over 6x. This demonstrates that the commercial infrastructure built in 2023–2024 is now leverageable, and incremental revenue should flow through at improving margins as ANKTIVA volume grows.</w:t>
      </w:r>
    </w:p>
    <w:p>
      <w:pPr>
        <w:spacing w:before="40" w:after="40"/>
      </w:pPr>
      <w:r>
        <w:rPr>
          <w:rFonts w:ascii="Times New Roman" w:hAnsi="Times New Roman"/>
          <w:b w:val="0"/>
          <w:sz w:val="20"/>
        </w:rPr>
        <w:t>R&amp;D expenses increased +15% to $218.6M in FY2025, driven by the Phase 3 BCG-Naïve trial (QUILT 2.005) enrolling 366 patients and multiple global clinical collaborations. Notably, Q4 2025 R&amp;D included a one-time $14.0M fixed asset write-off. Excluding this charge, adjusted Q4 R&amp;D was approximately $49.9M, more aligned with the Q3 2025 run-rate.</w:t>
      </w:r>
    </w:p>
    <w:p>
      <w:pPr>
        <w:jc w:val="center"/>
      </w:pPr>
      <w:r>
        <w:drawing>
          <wp:inline xmlns:a="http://schemas.openxmlformats.org/drawingml/2006/main" xmlns:pic="http://schemas.openxmlformats.org/drawingml/2006/picture">
            <wp:extent cx="5029200" cy="2832259"/>
            <wp:docPr id="4" name="Picture 4"/>
            <wp:cNvGraphicFramePr>
              <a:graphicFrameLocks noChangeAspect="1"/>
            </wp:cNvGraphicFramePr>
            <a:graphic>
              <a:graphicData uri="http://schemas.openxmlformats.org/drawingml/2006/picture">
                <pic:pic>
                  <pic:nvPicPr>
                    <pic:cNvPr id="0" name="ibrx_chart6_opex.png"/>
                    <pic:cNvPicPr/>
                  </pic:nvPicPr>
                  <pic:blipFill>
                    <a:blip r:embed="rId12"/>
                    <a:stretch>
                      <a:fillRect/>
                    </a:stretch>
                  </pic:blipFill>
                  <pic:spPr>
                    <a:xfrm>
                      <a:off x="0" y="0"/>
                      <a:ext cx="5029200" cy="2832259"/>
                    </a:xfrm>
                    <a:prstGeom prst="rect"/>
                  </pic:spPr>
                </pic:pic>
              </a:graphicData>
            </a:graphic>
          </wp:inline>
        </w:drawing>
      </w:r>
    </w:p>
    <w:p>
      <w:pPr>
        <w:spacing w:before="40" w:after="40"/>
      </w:pPr>
      <w:r>
        <w:rPr>
          <w:rFonts w:ascii="Times New Roman" w:hAnsi="Times New Roman"/>
          <w:b w:val="0"/>
          <w:color w:val="5E6A71"/>
          <w:sz w:val="16"/>
        </w:rPr>
        <w:t>Figure 4: OpEx Breakdown FY2024 vs. FY2025 ($M) | Source: ImmunityBio 10-K (FY2025)</w:t>
      </w:r>
    </w:p>
    <w:p>
      <w:pPr>
        <w:spacing w:before="120" w:after="80"/>
      </w:pPr>
      <w:r>
        <w:rPr>
          <w:rFonts w:ascii="Times New Roman" w:hAnsi="Times New Roman"/>
          <w:b/>
          <w:color w:val="003087"/>
          <w:sz w:val="22"/>
        </w:rPr>
        <w:t>2.2 Net Loss Progression</w:t>
      </w:r>
    </w:p>
    <w:p>
      <w:pPr>
        <w:spacing w:before="40" w:after="40"/>
      </w:pPr>
      <w:r>
        <w:rPr>
          <w:rFonts w:ascii="Times New Roman" w:hAnsi="Times New Roman"/>
          <w:b w:val="0"/>
          <w:sz w:val="20"/>
        </w:rPr>
        <w:t>Despite the revenue ramp, IBRX remained in net loss territory in 2025 — a feature of its development-stage capital allocation model where clinical programs are prioritized ahead of profitability. Full-year net loss attributable to common shareholders was ($351.4M), a 15% improvement over ($413.6M) in FY2024. Q4 2025 net loss of ($61.9M) improved meaningfully from Q3 2025's ($110.5M), though this was partly due to the timing of clinical and G&amp;A expenses.</w:t>
      </w:r>
    </w:p>
    <w:p>
      <w:pPr>
        <w:jc w:val="center"/>
      </w:pPr>
      <w:r>
        <w:drawing>
          <wp:inline xmlns:a="http://schemas.openxmlformats.org/drawingml/2006/main" xmlns:pic="http://schemas.openxmlformats.org/drawingml/2006/picture">
            <wp:extent cx="5029200" cy="2851658"/>
            <wp:docPr id="5" name="Picture 5"/>
            <wp:cNvGraphicFramePr>
              <a:graphicFrameLocks noChangeAspect="1"/>
            </wp:cNvGraphicFramePr>
            <a:graphic>
              <a:graphicData uri="http://schemas.openxmlformats.org/drawingml/2006/picture">
                <pic:pic>
                  <pic:nvPicPr>
                    <pic:cNvPr id="0" name="ibrx_chart3_net_loss.png"/>
                    <pic:cNvPicPr/>
                  </pic:nvPicPr>
                  <pic:blipFill>
                    <a:blip r:embed="rId13"/>
                    <a:stretch>
                      <a:fillRect/>
                    </a:stretch>
                  </pic:blipFill>
                  <pic:spPr>
                    <a:xfrm>
                      <a:off x="0" y="0"/>
                      <a:ext cx="5029200" cy="2851658"/>
                    </a:xfrm>
                    <a:prstGeom prst="rect"/>
                  </pic:spPr>
                </pic:pic>
              </a:graphicData>
            </a:graphic>
          </wp:inline>
        </w:drawing>
      </w:r>
    </w:p>
    <w:p>
      <w:pPr>
        <w:spacing w:before="40" w:after="40"/>
      </w:pPr>
      <w:r>
        <w:rPr>
          <w:rFonts w:ascii="Times New Roman" w:hAnsi="Times New Roman"/>
          <w:b w:val="0"/>
          <w:color w:val="5E6A71"/>
          <w:sz w:val="16"/>
        </w:rPr>
        <w:t>Figure 5: Quarterly Net Loss ($M) — FY2025 | Source: ImmunityBio Earnings Releases</w:t>
      </w:r>
    </w:p>
    <w:p>
      <w:pPr>
        <w:spacing w:before="120" w:after="80"/>
      </w:pPr>
      <w:r>
        <w:rPr>
          <w:rFonts w:ascii="Times New Roman" w:hAnsi="Times New Roman"/>
          <w:b/>
          <w:color w:val="003087"/>
          <w:sz w:val="22"/>
        </w:rPr>
        <w:t>2.3 Q4 Beat / Miss vs. Consensus</w:t>
      </w:r>
    </w:p>
    <w:p>
      <w:pPr>
        <w:spacing w:before="40" w:after="40"/>
      </w:pPr>
      <w:r>
        <w:rPr>
          <w:rFonts w:ascii="Times New Roman" w:hAnsi="Times New Roman"/>
          <w:b w:val="0"/>
          <w:sz w:val="20"/>
        </w:rPr>
        <w:t>IBRX delivered a clean beat across both consensus revenue and EPS estimates for Q4 2025. The EPS beat of approximately 33% was achieved despite higher absolute R&amp;D (due to the one-time write-off), reflecting better-than-expected SG&amp;A leverage and gross margin on product revenue.</w:t>
      </w:r>
    </w:p>
    <w:p>
      <w:pPr>
        <w:jc w:val="center"/>
      </w:pPr>
      <w:r>
        <w:drawing>
          <wp:inline xmlns:a="http://schemas.openxmlformats.org/drawingml/2006/main" xmlns:pic="http://schemas.openxmlformats.org/drawingml/2006/picture">
            <wp:extent cx="5029200" cy="2103560"/>
            <wp:docPr id="6" name="Picture 6"/>
            <wp:cNvGraphicFramePr>
              <a:graphicFrameLocks noChangeAspect="1"/>
            </wp:cNvGraphicFramePr>
            <a:graphic>
              <a:graphicData uri="http://schemas.openxmlformats.org/drawingml/2006/picture">
                <pic:pic>
                  <pic:nvPicPr>
                    <pic:cNvPr id="0" name="ibrx_chart4_beat_miss.png"/>
                    <pic:cNvPicPr/>
                  </pic:nvPicPr>
                  <pic:blipFill>
                    <a:blip r:embed="rId14"/>
                    <a:stretch>
                      <a:fillRect/>
                    </a:stretch>
                  </pic:blipFill>
                  <pic:spPr>
                    <a:xfrm>
                      <a:off x="0" y="0"/>
                      <a:ext cx="5029200" cy="2103560"/>
                    </a:xfrm>
                    <a:prstGeom prst="rect"/>
                  </pic:spPr>
                </pic:pic>
              </a:graphicData>
            </a:graphic>
          </wp:inline>
        </w:drawing>
      </w:r>
    </w:p>
    <w:p>
      <w:pPr>
        <w:spacing w:before="40" w:after="40"/>
      </w:pPr>
      <w:r>
        <w:rPr>
          <w:rFonts w:ascii="Times New Roman" w:hAnsi="Times New Roman"/>
          <w:b w:val="0"/>
          <w:color w:val="5E6A71"/>
          <w:sz w:val="16"/>
        </w:rPr>
        <w:t>Figure 6: Q4 2025 Results vs. Consensus Estimates | Source: Bloomberg, ImmunityBio Press Release</w:t>
      </w:r>
    </w:p>
    <w:p>
      <w:r>
        <w:br w:type="page"/>
      </w:r>
    </w:p>
    <w:p>
      <w:pPr>
        <w:spacing w:before="200" w:after="80"/>
      </w:pPr>
      <w:r>
        <w:rPr>
          <w:rFonts w:ascii="Times New Roman" w:hAnsi="Times New Roman"/>
          <w:b/>
          <w:color w:val="003087"/>
          <w:sz w:val="28"/>
        </w:rPr>
        <w:t>3. PIPELINE PROGRESS &amp; GUIDANCE</w:t>
      </w:r>
    </w:p>
    <w:p>
      <w:pPr>
        <w:spacing w:before="80" w:after="80"/>
        <w:pBdr>
          <w:bottom w:val="single" w:sz="4" w:space="1" w:color="003087"/>
        </w:pBdr>
      </w:pPr>
    </w:p>
    <w:p>
      <w:pPr>
        <w:spacing w:before="120" w:after="80"/>
      </w:pPr>
      <w:r>
        <w:rPr>
          <w:rFonts w:ascii="Times New Roman" w:hAnsi="Times New Roman"/>
          <w:b/>
          <w:color w:val="003087"/>
          <w:sz w:val="22"/>
        </w:rPr>
        <w:t>3.1 BCG-Unresponsive NMIBC — Label Expansion (Papillary-Only)</w:t>
      </w:r>
    </w:p>
    <w:p>
      <w:pPr>
        <w:spacing w:before="40" w:after="40"/>
      </w:pPr>
      <w:r>
        <w:rPr>
          <w:rFonts w:ascii="Times New Roman" w:hAnsi="Times New Roman"/>
          <w:b w:val="0"/>
          <w:sz w:val="20"/>
        </w:rPr>
        <w:t>On March 9, 2026 — six days after the earnings call — ImmunityBio resubmitted its supplemental BLA (sBLA) to the FDA for a label expansion of ANKTIVA to include BCG-unresponsive non-muscle invasive bladder cancer (NMIBC) with papillary disease only (i.e., Ta/T1 without carcinoma in situ). The FDA had previously issued a Complete Response Letter (CRL) requesting additional efficacy and long-term follow-up data — critically, without requesting new clinical trials. Management believes the submitted data package is sufficient for approval. If cleared, this would add a meaningful new patient segment to the approved indication.</w:t>
      </w:r>
    </w:p>
    <w:p>
      <w:pPr>
        <w:spacing w:before="120" w:after="80"/>
      </w:pPr>
      <w:r>
        <w:rPr>
          <w:rFonts w:ascii="Times New Roman" w:hAnsi="Times New Roman"/>
          <w:b/>
          <w:color w:val="003087"/>
          <w:sz w:val="22"/>
        </w:rPr>
        <w:t>3.2 BCG-Naïve NMIBC — QUILT 2.005 (BLA Filing Target: Q4 2026)</w:t>
      </w:r>
    </w:p>
    <w:p>
      <w:pPr>
        <w:spacing w:before="40" w:after="40"/>
      </w:pPr>
      <w:r>
        <w:rPr>
          <w:rFonts w:ascii="Times New Roman" w:hAnsi="Times New Roman"/>
          <w:b w:val="0"/>
          <w:sz w:val="20"/>
        </w:rPr>
        <w:t>The most significant near-term catalyst is the Phase 3 QUILT 2.005 trial in BCG-naïve NMIBC, comparing ANKTIVA + BCG versus BCG alone. The trial enrolled 366 patients. An FDA-requested interim analysis showed:</w:t>
      </w:r>
    </w:p>
    <w:p>
      <w:pPr>
        <w:pStyle w:val="ListBullet"/>
        <w:spacing w:before="20" w:after="20"/>
        <w:ind w:left="432"/>
      </w:pPr>
      <w:r>
        <w:rPr>
          <w:rFonts w:ascii="Times New Roman" w:hAnsi="Times New Roman"/>
          <w:color w:val="1A7A4A"/>
          <w:sz w:val="20"/>
        </w:rPr>
        <w:t>9-month Complete Response (CR) rate: 84% (ANKTIVA+BCG) vs. 52% (BCG alone), p=0.0455</w:t>
      </w:r>
    </w:p>
    <w:p>
      <w:pPr>
        <w:pStyle w:val="ListBullet"/>
        <w:spacing w:before="20" w:after="20"/>
        <w:ind w:left="432"/>
      </w:pPr>
      <w:r>
        <w:rPr>
          <w:rFonts w:ascii="Times New Roman" w:hAnsi="Times New Roman"/>
          <w:sz w:val="20"/>
        </w:rPr>
        <w:t>No new safety signals observed</w:t>
      </w:r>
    </w:p>
    <w:p>
      <w:pPr>
        <w:pStyle w:val="ListBullet"/>
        <w:spacing w:before="20" w:after="20"/>
        <w:ind w:left="432"/>
      </w:pPr>
      <w:r>
        <w:rPr>
          <w:rFonts w:ascii="Times New Roman" w:hAnsi="Times New Roman"/>
          <w:sz w:val="20"/>
        </w:rPr>
        <w:t>BLA filing targeted for Q4 2026; if approved, BCG-naïve NMIBC would expand the treatable patient universe by ~3–5x vs. BCG-unresponsive disease</w:t>
      </w:r>
    </w:p>
    <w:p>
      <w:pPr>
        <w:spacing w:before="40" w:after="40"/>
      </w:pPr>
      <w:r>
        <w:rPr>
          <w:rFonts w:ascii="Times New Roman" w:hAnsi="Times New Roman"/>
          <w:b w:val="0"/>
          <w:sz w:val="20"/>
        </w:rPr>
        <w:t>BCG-naïve NMIBC represents a far larger commercial opportunity — approximately 80,000 new diagnoses in the U.S. annually vs. ~13,000 BCG-unresponsive patients — and successful BLA filing/approval would be transformative for IBRX.</w:t>
      </w:r>
    </w:p>
    <w:p>
      <w:pPr>
        <w:spacing w:before="120" w:after="80"/>
      </w:pPr>
      <w:r>
        <w:rPr>
          <w:rFonts w:ascii="Times New Roman" w:hAnsi="Times New Roman"/>
          <w:b/>
          <w:color w:val="003087"/>
          <w:sz w:val="22"/>
        </w:rPr>
        <w:t>3.3 Lung Cancer (NSCLC) — Global First Conditional Approval</w:t>
      </w:r>
    </w:p>
    <w:p>
      <w:pPr>
        <w:spacing w:before="40" w:after="40"/>
      </w:pPr>
      <w:r>
        <w:rPr>
          <w:rFonts w:ascii="Times New Roman" w:hAnsi="Times New Roman"/>
          <w:b w:val="0"/>
          <w:sz w:val="20"/>
        </w:rPr>
        <w:t>ANKTIVA received its first conditional approval for non-small cell lung cancer (NSCLC) from the Saudi Food and Drug Authority (SFDA) — the first global regulatory approval in a solid tumor indication. QUILT-3.055 Phase 2b data demonstrated a 14.1-month median overall survival in checkpoint-inhibitor relapsed/refractory NSCLC patients, a historically challenging population. A European filing is planned for 2026 via Accord Healthcare.</w:t>
      </w:r>
    </w:p>
    <w:p>
      <w:pPr>
        <w:spacing w:before="120" w:after="80"/>
      </w:pPr>
      <w:r>
        <w:rPr>
          <w:rFonts w:ascii="Times New Roman" w:hAnsi="Times New Roman"/>
          <w:b/>
          <w:color w:val="003087"/>
          <w:sz w:val="22"/>
        </w:rPr>
        <w:t>3.4 Global Expansion — 33 Countries, 4 Jurisdictions</w:t>
      </w:r>
    </w:p>
    <w:p>
      <w:pPr>
        <w:spacing w:before="40" w:after="40"/>
      </w:pPr>
      <w:r>
        <w:rPr>
          <w:rFonts w:ascii="Times New Roman" w:hAnsi="Times New Roman"/>
          <w:b w:val="0"/>
          <w:sz w:val="20"/>
        </w:rPr>
        <w:t>ANKTIVA is now approved or authorized in 33 countries across 4 regulatory jurisdictions (U.S., EU, Saudi Arabia/Middle East, and additional regions). Accord Healthcare is deploying its European commercial team across 31 EU countries; Germany is targeted as the first European commercial launch market in 2026. International revenue will likely begin materializing in H2 2026, representing a meaningful incremental driver not yet fully captured in consensus estimates.</w:t>
      </w:r>
    </w:p>
    <w:p>
      <w:pPr>
        <w:jc w:val="center"/>
      </w:pPr>
      <w:r>
        <w:drawing>
          <wp:inline xmlns:a="http://schemas.openxmlformats.org/drawingml/2006/main" xmlns:pic="http://schemas.openxmlformats.org/drawingml/2006/picture">
            <wp:extent cx="5486400" cy="2708476"/>
            <wp:docPr id="7" name="Picture 7"/>
            <wp:cNvGraphicFramePr>
              <a:graphicFrameLocks noChangeAspect="1"/>
            </wp:cNvGraphicFramePr>
            <a:graphic>
              <a:graphicData uri="http://schemas.openxmlformats.org/drawingml/2006/picture">
                <pic:pic>
                  <pic:nvPicPr>
                    <pic:cNvPr id="0" name="ibrx_chart8_pipeline.png"/>
                    <pic:cNvPicPr/>
                  </pic:nvPicPr>
                  <pic:blipFill>
                    <a:blip r:embed="rId15"/>
                    <a:stretch>
                      <a:fillRect/>
                    </a:stretch>
                  </pic:blipFill>
                  <pic:spPr>
                    <a:xfrm>
                      <a:off x="0" y="0"/>
                      <a:ext cx="5486400" cy="2708476"/>
                    </a:xfrm>
                    <a:prstGeom prst="rect"/>
                  </pic:spPr>
                </pic:pic>
              </a:graphicData>
            </a:graphic>
          </wp:inline>
        </w:drawing>
      </w:r>
    </w:p>
    <w:p>
      <w:pPr>
        <w:spacing w:before="40" w:after="40"/>
      </w:pPr>
      <w:r>
        <w:rPr>
          <w:rFonts w:ascii="Times New Roman" w:hAnsi="Times New Roman"/>
          <w:b w:val="0"/>
          <w:color w:val="5E6A71"/>
          <w:sz w:val="16"/>
        </w:rPr>
        <w:t>Figure 7: ANKTIVA Pipeline Status — QUILT Program Overview | Source: ImmunityBio Earnings Call (Mar 2026)</w:t>
      </w:r>
    </w:p>
    <w:p>
      <w:r>
        <w:br w:type="page"/>
      </w:r>
    </w:p>
    <w:p>
      <w:pPr>
        <w:spacing w:before="200" w:after="80"/>
      </w:pPr>
      <w:r>
        <w:rPr>
          <w:rFonts w:ascii="Times New Roman" w:hAnsi="Times New Roman"/>
          <w:b/>
          <w:color w:val="003087"/>
          <w:sz w:val="28"/>
        </w:rPr>
        <w:t>4. BALANCE SHEET &amp; CASH RUNWAY</w:t>
      </w:r>
    </w:p>
    <w:p>
      <w:pPr>
        <w:spacing w:before="80" w:after="80"/>
        <w:pBdr>
          <w:bottom w:val="single" w:sz="4" w:space="1" w:color="003087"/>
        </w:pBdr>
      </w:pPr>
    </w:p>
    <w:p>
      <w:pPr>
        <w:spacing w:before="120" w:after="80"/>
      </w:pPr>
      <w:r>
        <w:rPr>
          <w:rFonts w:ascii="Times New Roman" w:hAnsi="Times New Roman"/>
          <w:b/>
          <w:color w:val="003087"/>
          <w:sz w:val="22"/>
        </w:rPr>
        <w:t>4.1 Cash Position</w:t>
      </w:r>
    </w:p>
    <w:p>
      <w:pPr>
        <w:spacing w:before="40" w:after="40"/>
      </w:pPr>
      <w:r>
        <w:rPr>
          <w:rFonts w:ascii="Times New Roman" w:hAnsi="Times New Roman"/>
          <w:b w:val="0"/>
          <w:sz w:val="20"/>
        </w:rPr>
        <w:t>Cash and marketable securities as of December 31, 2025 stood at $242.8M, down from approximately $288M at year-end 2024 despite approximately $400M in capital raises during 2025 (via equity and debt financing). Operating cash burn in FY2025 was approximately $305M (~$76M/quarter), funded partly by ANKTIVA product revenue and partly by ongoing dilutive equity issuance.</w:t>
      </w:r>
    </w:p>
    <w:p>
      <w:pPr>
        <w:spacing w:before="40" w:after="40"/>
      </w:pPr>
      <w:r>
        <w:rPr>
          <w:rFonts w:ascii="Times New Roman" w:hAnsi="Times New Roman"/>
          <w:b w:val="0"/>
          <w:sz w:val="20"/>
        </w:rPr>
        <w:t>The critical investor concern: at a flat-burn rate of ~$76M/quarter, current cash is insufficient to fund operations beyond approximately 3 quarters (September 2026). Management has not guided to profitability within this horizon, making additional financing — likely dilutive equity — a near-certainty in H2 2026.</w:t>
      </w:r>
    </w:p>
    <w:p>
      <w:pPr>
        <w:pStyle w:val="ListBullet"/>
        <w:spacing w:before="20" w:after="20"/>
        <w:ind w:left="432"/>
      </w:pPr>
      <w:r>
        <w:rPr>
          <w:rFonts w:ascii="Times New Roman" w:hAnsi="Times New Roman"/>
          <w:sz w:val="20"/>
        </w:rPr>
        <w:t>Positive: ANKTIVA revenue is growing rapidly (~$10M QoQ) and reducing the net cash burn each quarter</w:t>
      </w:r>
    </w:p>
    <w:p>
      <w:pPr>
        <w:pStyle w:val="ListBullet"/>
        <w:spacing w:before="20" w:after="20"/>
        <w:ind w:left="432"/>
      </w:pPr>
      <w:r>
        <w:rPr>
          <w:rFonts w:ascii="Times New Roman" w:hAnsi="Times New Roman"/>
          <w:sz w:val="20"/>
        </w:rPr>
        <w:t>Negative: R&amp;D spend will remain elevated through Phase 3 BCG-Naïve BLA prep and NSCLC global expansion</w:t>
      </w:r>
    </w:p>
    <w:p>
      <w:pPr>
        <w:pStyle w:val="ListBullet"/>
        <w:spacing w:before="20" w:after="20"/>
        <w:ind w:left="432"/>
      </w:pPr>
      <w:r>
        <w:rPr>
          <w:rFonts w:ascii="Times New Roman" w:hAnsi="Times New Roman"/>
          <w:sz w:val="20"/>
        </w:rPr>
        <w:t>Risk mitigation: If European commercial launch succeeds in H2 2026, international revenue could partially offset burn; however, timing is uncertain</w:t>
      </w:r>
    </w:p>
    <w:p>
      <w:pPr>
        <w:jc w:val="center"/>
      </w:pPr>
      <w:r>
        <w:drawing>
          <wp:inline xmlns:a="http://schemas.openxmlformats.org/drawingml/2006/main" xmlns:pic="http://schemas.openxmlformats.org/drawingml/2006/picture">
            <wp:extent cx="5029200" cy="3333900"/>
            <wp:docPr id="8" name="Picture 8"/>
            <wp:cNvGraphicFramePr>
              <a:graphicFrameLocks noChangeAspect="1"/>
            </wp:cNvGraphicFramePr>
            <a:graphic>
              <a:graphicData uri="http://schemas.openxmlformats.org/drawingml/2006/picture">
                <pic:pic>
                  <pic:nvPicPr>
                    <pic:cNvPr id="0" name="ibrx_chart7_cash.png"/>
                    <pic:cNvPicPr/>
                  </pic:nvPicPr>
                  <pic:blipFill>
                    <a:blip r:embed="rId16"/>
                    <a:stretch>
                      <a:fillRect/>
                    </a:stretch>
                  </pic:blipFill>
                  <pic:spPr>
                    <a:xfrm>
                      <a:off x="0" y="0"/>
                      <a:ext cx="5029200" cy="3333900"/>
                    </a:xfrm>
                    <a:prstGeom prst="rect"/>
                  </pic:spPr>
                </pic:pic>
              </a:graphicData>
            </a:graphic>
          </wp:inline>
        </w:drawing>
      </w:r>
    </w:p>
    <w:p>
      <w:pPr>
        <w:spacing w:before="40" w:after="40"/>
      </w:pPr>
      <w:r>
        <w:rPr>
          <w:rFonts w:ascii="Times New Roman" w:hAnsi="Times New Roman"/>
          <w:b w:val="0"/>
          <w:color w:val="5E6A71"/>
          <w:sz w:val="16"/>
        </w:rPr>
        <w:t>Figure 8: Estimated Cash Runway — Scenario Analysis ($M) | Source: ImmunityBio 10-K, Company Estimates</w:t>
      </w:r>
    </w:p>
    <w:p>
      <w:pPr>
        <w:spacing w:before="120" w:after="80"/>
      </w:pPr>
      <w:r>
        <w:rPr>
          <w:rFonts w:ascii="Times New Roman" w:hAnsi="Times New Roman"/>
          <w:b/>
          <w:color w:val="003087"/>
          <w:sz w:val="22"/>
        </w:rPr>
        <w:t>4.2 Key Balance Sheet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087"/>
          </w:tcPr>
          <w:p>
            <w:pPr>
              <w:jc w:val="center"/>
            </w:pPr>
            <w:r>
              <w:rPr>
                <w:rFonts w:ascii="Times New Roman" w:hAnsi="Times New Roman"/>
                <w:b/>
                <w:color w:val="FFFFFF"/>
                <w:sz w:val="18"/>
              </w:rPr>
              <w:t>Balance Sheet Item</w:t>
            </w:r>
          </w:p>
        </w:tc>
        <w:tc>
          <w:tcPr>
            <w:tcW w:type="dxa" w:w="2340"/>
            <w:shd w:val="clear" w:color="auto" w:fill="003087"/>
          </w:tcPr>
          <w:p>
            <w:pPr>
              <w:jc w:val="center"/>
            </w:pPr>
            <w:r>
              <w:rPr>
                <w:rFonts w:ascii="Times New Roman" w:hAnsi="Times New Roman"/>
                <w:b/>
                <w:color w:val="FFFFFF"/>
                <w:sz w:val="18"/>
              </w:rPr>
              <w:t>Dec 31, 2025</w:t>
            </w:r>
          </w:p>
        </w:tc>
        <w:tc>
          <w:tcPr>
            <w:tcW w:type="dxa" w:w="2340"/>
            <w:shd w:val="clear" w:color="auto" w:fill="003087"/>
          </w:tcPr>
          <w:p>
            <w:pPr>
              <w:jc w:val="center"/>
            </w:pPr>
            <w:r>
              <w:rPr>
                <w:rFonts w:ascii="Times New Roman" w:hAnsi="Times New Roman"/>
                <w:b/>
                <w:color w:val="FFFFFF"/>
                <w:sz w:val="18"/>
              </w:rPr>
              <w:t>Dec 31, 2024</w:t>
            </w:r>
          </w:p>
        </w:tc>
        <w:tc>
          <w:tcPr>
            <w:tcW w:type="dxa" w:w="2340"/>
            <w:shd w:val="clear" w:color="auto" w:fill="003087"/>
          </w:tcPr>
          <w:p>
            <w:pPr>
              <w:jc w:val="center"/>
            </w:pPr>
            <w:r>
              <w:rPr>
                <w:rFonts w:ascii="Times New Roman" w:hAnsi="Times New Roman"/>
                <w:b/>
                <w:color w:val="FFFFFF"/>
                <w:sz w:val="18"/>
              </w:rPr>
              <w:t>Change</w:t>
            </w:r>
          </w:p>
        </w:tc>
      </w:tr>
      <w:tr>
        <w:tc>
          <w:tcPr>
            <w:tcW w:type="dxa" w:w="2340"/>
          </w:tcPr>
          <w:p>
            <w:r>
              <w:rPr>
                <w:rFonts w:ascii="Times New Roman" w:hAnsi="Times New Roman"/>
                <w:sz w:val="18"/>
              </w:rPr>
              <w:t>Cash &amp; Marketable Securities</w:t>
            </w:r>
          </w:p>
        </w:tc>
        <w:tc>
          <w:tcPr>
            <w:tcW w:type="dxa" w:w="2340"/>
          </w:tcPr>
          <w:p>
            <w:r>
              <w:rPr>
                <w:rFonts w:ascii="Times New Roman" w:hAnsi="Times New Roman"/>
                <w:sz w:val="18"/>
              </w:rPr>
              <w:t>$242.8M</w:t>
            </w:r>
          </w:p>
        </w:tc>
        <w:tc>
          <w:tcPr>
            <w:tcW w:type="dxa" w:w="2340"/>
          </w:tcPr>
          <w:p>
            <w:r>
              <w:rPr>
                <w:rFonts w:ascii="Times New Roman" w:hAnsi="Times New Roman"/>
                <w:sz w:val="18"/>
              </w:rPr>
              <w:t>~$288.0M</w:t>
            </w:r>
          </w:p>
        </w:tc>
        <w:tc>
          <w:tcPr>
            <w:tcW w:type="dxa" w:w="2340"/>
          </w:tcPr>
          <w:p>
            <w:r>
              <w:rPr>
                <w:rFonts w:ascii="Times New Roman" w:hAnsi="Times New Roman"/>
                <w:sz w:val="18"/>
              </w:rPr>
              <w:t>-$45.2M</w:t>
            </w:r>
          </w:p>
        </w:tc>
      </w:tr>
      <w:tr>
        <w:tc>
          <w:tcPr>
            <w:tcW w:type="dxa" w:w="2340"/>
            <w:shd w:val="clear" w:color="auto" w:fill="E8EDF7"/>
          </w:tcPr>
          <w:p>
            <w:r>
              <w:rPr>
                <w:rFonts w:ascii="Times New Roman" w:hAnsi="Times New Roman"/>
                <w:sz w:val="18"/>
              </w:rPr>
              <w:t>Total Current Assets</w:t>
            </w:r>
          </w:p>
        </w:tc>
        <w:tc>
          <w:tcPr>
            <w:tcW w:type="dxa" w:w="2340"/>
            <w:shd w:val="clear" w:color="auto" w:fill="E8EDF7"/>
          </w:tcPr>
          <w:p>
            <w:r>
              <w:rPr>
                <w:rFonts w:ascii="Times New Roman" w:hAnsi="Times New Roman"/>
                <w:sz w:val="18"/>
              </w:rPr>
              <w:t>~$278M</w:t>
            </w:r>
          </w:p>
        </w:tc>
        <w:tc>
          <w:tcPr>
            <w:tcW w:type="dxa" w:w="2340"/>
            <w:shd w:val="clear" w:color="auto" w:fill="E8EDF7"/>
          </w:tcPr>
          <w:p>
            <w:r>
              <w:rPr>
                <w:rFonts w:ascii="Times New Roman" w:hAnsi="Times New Roman"/>
                <w:sz w:val="18"/>
              </w:rPr>
              <w:t>~$330M</w:t>
            </w:r>
          </w:p>
        </w:tc>
        <w:tc>
          <w:tcPr>
            <w:tcW w:type="dxa" w:w="2340"/>
            <w:shd w:val="clear" w:color="auto" w:fill="E8EDF7"/>
          </w:tcPr>
          <w:p>
            <w:r>
              <w:rPr>
                <w:rFonts w:ascii="Times New Roman" w:hAnsi="Times New Roman"/>
                <w:sz w:val="18"/>
              </w:rPr>
              <w:t>~-$52M</w:t>
            </w:r>
          </w:p>
        </w:tc>
      </w:tr>
      <w:tr>
        <w:tc>
          <w:tcPr>
            <w:tcW w:type="dxa" w:w="2340"/>
          </w:tcPr>
          <w:p>
            <w:r>
              <w:rPr>
                <w:rFonts w:ascii="Times New Roman" w:hAnsi="Times New Roman"/>
                <w:sz w:val="18"/>
              </w:rPr>
              <w:t>Total Debt / Obligations</w:t>
            </w:r>
          </w:p>
        </w:tc>
        <w:tc>
          <w:tcPr>
            <w:tcW w:type="dxa" w:w="2340"/>
          </w:tcPr>
          <w:p>
            <w:r>
              <w:rPr>
                <w:rFonts w:ascii="Times New Roman" w:hAnsi="Times New Roman"/>
                <w:sz w:val="18"/>
              </w:rPr>
              <w:t>~$450M+</w:t>
            </w:r>
          </w:p>
        </w:tc>
        <w:tc>
          <w:tcPr>
            <w:tcW w:type="dxa" w:w="2340"/>
          </w:tcPr>
          <w:p>
            <w:r>
              <w:rPr>
                <w:rFonts w:ascii="Times New Roman" w:hAnsi="Times New Roman"/>
                <w:sz w:val="18"/>
              </w:rPr>
              <w:t>~$380M</w:t>
            </w:r>
          </w:p>
        </w:tc>
        <w:tc>
          <w:tcPr>
            <w:tcW w:type="dxa" w:w="2340"/>
          </w:tcPr>
          <w:p>
            <w:r>
              <w:rPr>
                <w:rFonts w:ascii="Times New Roman" w:hAnsi="Times New Roman"/>
                <w:sz w:val="18"/>
              </w:rPr>
              <w:t>Increased</w:t>
            </w:r>
          </w:p>
        </w:tc>
      </w:tr>
      <w:tr>
        <w:tc>
          <w:tcPr>
            <w:tcW w:type="dxa" w:w="2340"/>
            <w:shd w:val="clear" w:color="auto" w:fill="E8EDF7"/>
          </w:tcPr>
          <w:p>
            <w:r>
              <w:rPr>
                <w:rFonts w:ascii="Times New Roman" w:hAnsi="Times New Roman"/>
                <w:sz w:val="18"/>
              </w:rPr>
              <w:t>Annual Operating Cash Burn</w:t>
            </w:r>
          </w:p>
        </w:tc>
        <w:tc>
          <w:tcPr>
            <w:tcW w:type="dxa" w:w="2340"/>
            <w:shd w:val="clear" w:color="auto" w:fill="E8EDF7"/>
          </w:tcPr>
          <w:p>
            <w:r>
              <w:rPr>
                <w:rFonts w:ascii="Times New Roman" w:hAnsi="Times New Roman"/>
                <w:sz w:val="18"/>
              </w:rPr>
              <w:t>~($305)M</w:t>
            </w:r>
          </w:p>
        </w:tc>
        <w:tc>
          <w:tcPr>
            <w:tcW w:type="dxa" w:w="2340"/>
            <w:shd w:val="clear" w:color="auto" w:fill="E8EDF7"/>
          </w:tcPr>
          <w:p>
            <w:r>
              <w:rPr>
                <w:rFonts w:ascii="Times New Roman" w:hAnsi="Times New Roman"/>
                <w:sz w:val="18"/>
              </w:rPr>
              <w:t>~($360)M</w:t>
            </w:r>
          </w:p>
        </w:tc>
        <w:tc>
          <w:tcPr>
            <w:tcW w:type="dxa" w:w="2340"/>
            <w:shd w:val="clear" w:color="auto" w:fill="E8EDF7"/>
          </w:tcPr>
          <w:p>
            <w:r>
              <w:rPr>
                <w:rFonts w:ascii="Times New Roman" w:hAnsi="Times New Roman"/>
                <w:sz w:val="18"/>
              </w:rPr>
              <w:t>Improved ~15%</w:t>
            </w:r>
          </w:p>
        </w:tc>
      </w:tr>
      <w:tr>
        <w:tc>
          <w:tcPr>
            <w:tcW w:type="dxa" w:w="2340"/>
          </w:tcPr>
          <w:p>
            <w:r>
              <w:rPr>
                <w:rFonts w:ascii="Times New Roman" w:hAnsi="Times New Roman"/>
                <w:sz w:val="18"/>
              </w:rPr>
              <w:t>Shares Outstanding (~)</w:t>
            </w:r>
          </w:p>
        </w:tc>
        <w:tc>
          <w:tcPr>
            <w:tcW w:type="dxa" w:w="2340"/>
          </w:tcPr>
          <w:p>
            <w:r>
              <w:rPr>
                <w:rFonts w:ascii="Times New Roman" w:hAnsi="Times New Roman"/>
                <w:sz w:val="18"/>
              </w:rPr>
              <w:t>~1.06B</w:t>
            </w:r>
          </w:p>
        </w:tc>
        <w:tc>
          <w:tcPr>
            <w:tcW w:type="dxa" w:w="2340"/>
          </w:tcPr>
          <w:p>
            <w:r>
              <w:rPr>
                <w:rFonts w:ascii="Times New Roman" w:hAnsi="Times New Roman"/>
                <w:sz w:val="18"/>
              </w:rPr>
              <w:t>~0.95B</w:t>
            </w:r>
          </w:p>
        </w:tc>
        <w:tc>
          <w:tcPr>
            <w:tcW w:type="dxa" w:w="2340"/>
          </w:tcPr>
          <w:p>
            <w:r>
              <w:rPr>
                <w:rFonts w:ascii="Times New Roman" w:hAnsi="Times New Roman"/>
                <w:sz w:val="18"/>
              </w:rPr>
              <w:t>+11.6%</w:t>
            </w:r>
          </w:p>
        </w:tc>
      </w:tr>
    </w:tbl>
    <w:p/>
    <w:p>
      <w:r>
        <w:br w:type="page"/>
      </w:r>
    </w:p>
    <w:p>
      <w:pPr>
        <w:spacing w:before="200" w:after="80"/>
      </w:pPr>
      <w:r>
        <w:rPr>
          <w:rFonts w:ascii="Times New Roman" w:hAnsi="Times New Roman"/>
          <w:b/>
          <w:color w:val="003087"/>
          <w:sz w:val="28"/>
        </w:rPr>
        <w:t>5. INVESTMENT THESIS &amp; THESIS UPDATE</w:t>
      </w:r>
    </w:p>
    <w:p>
      <w:pPr>
        <w:spacing w:before="80" w:after="80"/>
        <w:pBdr>
          <w:bottom w:val="single" w:sz="4" w:space="1" w:color="003087"/>
        </w:pBdr>
      </w:pPr>
    </w:p>
    <w:p>
      <w:pPr>
        <w:spacing w:before="120" w:after="80"/>
      </w:pPr>
      <w:r>
        <w:rPr>
          <w:rFonts w:ascii="Times New Roman" w:hAnsi="Times New Roman"/>
          <w:b/>
          <w:color w:val="003087"/>
          <w:sz w:val="22"/>
        </w:rPr>
        <w:t>5.1 Thesis: ANKTIVA as a Platform — Intact</w:t>
      </w:r>
    </w:p>
    <w:p>
      <w:pPr>
        <w:spacing w:before="40" w:after="40"/>
      </w:pPr>
      <w:r>
        <w:rPr>
          <w:rFonts w:ascii="Times New Roman" w:hAnsi="Times New Roman"/>
          <w:b w:val="0"/>
          <w:sz w:val="20"/>
        </w:rPr>
        <w:t>Our OUTPERFORM thesis on ImmunityBio is predicated on three pillars: (1) continued ANKTIVA commercial execution in BCG-unresponsive NMIBC; (2) near-term label expansion into BCG-naïve NMIBC (the larger opportunity); and (3) successful global commercialization — beginning with Europe and Saudi Arabia. Q4 2025 results reinforce all three pillars. ANKTIVA's 700% full-year revenue growth, unbroken QoQ trajectory, and the compelling BCG-naïve interim data (84% vs. 52% CR) give us confidence in the commercial and regulatory path.</w:t>
      </w:r>
    </w:p>
    <w:p>
      <w:pPr>
        <w:spacing w:before="120" w:after="80"/>
      </w:pPr>
      <w:r>
        <w:rPr>
          <w:rFonts w:ascii="Times New Roman" w:hAnsi="Times New Roman"/>
          <w:b/>
          <w:color w:val="003087"/>
          <w:sz w:val="22"/>
        </w:rPr>
        <w:t>5.2 What Has Changed Since Our Last Update</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003087"/>
          </w:tcPr>
          <w:p>
            <w:r>
              <w:rPr>
                <w:rFonts w:ascii="Times New Roman" w:hAnsi="Times New Roman"/>
                <w:b/>
                <w:color w:val="FFFFFF"/>
                <w:sz w:val="18"/>
              </w:rPr>
              <w:t>Factor</w:t>
            </w:r>
          </w:p>
        </w:tc>
        <w:tc>
          <w:tcPr>
            <w:tcW w:type="dxa" w:w="4680"/>
            <w:shd w:val="clear" w:color="auto" w:fill="003087"/>
          </w:tcPr>
          <w:p>
            <w:r>
              <w:rPr>
                <w:rFonts w:ascii="Times New Roman" w:hAnsi="Times New Roman"/>
                <w:b/>
                <w:color w:val="FFFFFF"/>
                <w:sz w:val="18"/>
              </w:rPr>
              <w:t>Commentary</w:t>
            </w:r>
          </w:p>
        </w:tc>
      </w:tr>
      <w:tr>
        <w:tc>
          <w:tcPr>
            <w:tcW w:type="dxa" w:w="4680"/>
          </w:tcPr>
          <w:p>
            <w:r>
              <w:rPr>
                <w:rFonts w:ascii="Times New Roman" w:hAnsi="Times New Roman"/>
                <w:sz w:val="18"/>
              </w:rPr>
              <w:t>Price Target raised: $7.00 → $12.00</w:t>
            </w:r>
          </w:p>
        </w:tc>
        <w:tc>
          <w:tcPr>
            <w:tcW w:type="dxa" w:w="4680"/>
          </w:tcPr>
          <w:p>
            <w:r>
              <w:rPr>
                <w:rFonts w:ascii="Times New Roman" w:hAnsi="Times New Roman"/>
                <w:sz w:val="18"/>
              </w:rPr>
              <w:t>Faster commercialization, BCG-naïve interim data above expectations</w:t>
            </w:r>
          </w:p>
        </w:tc>
      </w:tr>
      <w:tr>
        <w:tc>
          <w:tcPr>
            <w:tcW w:type="dxa" w:w="4680"/>
            <w:shd w:val="clear" w:color="auto" w:fill="E8EDF7"/>
          </w:tcPr>
          <w:p>
            <w:r>
              <w:rPr>
                <w:rFonts w:ascii="Times New Roman" w:hAnsi="Times New Roman"/>
                <w:sz w:val="18"/>
              </w:rPr>
              <w:t>NSCLC opportunity added to model</w:t>
            </w:r>
          </w:p>
        </w:tc>
        <w:tc>
          <w:tcPr>
            <w:tcW w:type="dxa" w:w="4680"/>
            <w:shd w:val="clear" w:color="auto" w:fill="E8EDF7"/>
          </w:tcPr>
          <w:p>
            <w:r>
              <w:rPr>
                <w:rFonts w:ascii="Times New Roman" w:hAnsi="Times New Roman"/>
                <w:sz w:val="18"/>
              </w:rPr>
              <w:t>SFDA conditional approval provides real-world revenue opportunity in 2026</w:t>
            </w:r>
          </w:p>
        </w:tc>
      </w:tr>
      <w:tr>
        <w:tc>
          <w:tcPr>
            <w:tcW w:type="dxa" w:w="4680"/>
          </w:tcPr>
          <w:p>
            <w:r>
              <w:rPr>
                <w:rFonts w:ascii="Times New Roman" w:hAnsi="Times New Roman"/>
                <w:sz w:val="18"/>
              </w:rPr>
              <w:t>European launch added to forward estimates</w:t>
            </w:r>
          </w:p>
        </w:tc>
        <w:tc>
          <w:tcPr>
            <w:tcW w:type="dxa" w:w="4680"/>
          </w:tcPr>
          <w:p>
            <w:r>
              <w:rPr>
                <w:rFonts w:ascii="Times New Roman" w:hAnsi="Times New Roman"/>
                <w:sz w:val="18"/>
              </w:rPr>
              <w:t>Accord Healthcare deployment expected to begin generating revenue H2 2026</w:t>
            </w:r>
          </w:p>
        </w:tc>
      </w:tr>
      <w:tr>
        <w:tc>
          <w:tcPr>
            <w:tcW w:type="dxa" w:w="4680"/>
            <w:shd w:val="clear" w:color="auto" w:fill="E8EDF7"/>
          </w:tcPr>
          <w:p>
            <w:r>
              <w:rPr>
                <w:rFonts w:ascii="Times New Roman" w:hAnsi="Times New Roman"/>
                <w:sz w:val="18"/>
              </w:rPr>
              <w:t>Cash risk elevated</w:t>
            </w:r>
          </w:p>
        </w:tc>
        <w:tc>
          <w:tcPr>
            <w:tcW w:type="dxa" w:w="4680"/>
            <w:shd w:val="clear" w:color="auto" w:fill="E8EDF7"/>
          </w:tcPr>
          <w:p>
            <w:r>
              <w:rPr>
                <w:rFonts w:ascii="Times New Roman" w:hAnsi="Times New Roman"/>
                <w:sz w:val="18"/>
              </w:rPr>
              <w:t>Cash ($242.8M) now below annual burn — financing risk is near-term and real</w:t>
            </w:r>
          </w:p>
        </w:tc>
      </w:tr>
      <w:tr>
        <w:tc>
          <w:tcPr>
            <w:tcW w:type="dxa" w:w="4680"/>
          </w:tcPr>
          <w:p>
            <w:r>
              <w:rPr>
                <w:rFonts w:ascii="Times New Roman" w:hAnsi="Times New Roman"/>
                <w:sz w:val="18"/>
              </w:rPr>
              <w:t>EPS estimates improved</w:t>
            </w:r>
          </w:p>
        </w:tc>
        <w:tc>
          <w:tcPr>
            <w:tcW w:type="dxa" w:w="4680"/>
          </w:tcPr>
          <w:p>
            <w:r>
              <w:rPr>
                <w:rFonts w:ascii="Times New Roman" w:hAnsi="Times New Roman"/>
                <w:sz w:val="18"/>
              </w:rPr>
              <w:t>FY2026E EPS (loss) revised to ($0.95) from ($1.20); path to profitability moves closer</w:t>
            </w:r>
          </w:p>
        </w:tc>
      </w:tr>
    </w:tbl>
    <w:p/>
    <w:p>
      <w:pPr>
        <w:spacing w:before="120" w:after="80"/>
      </w:pPr>
      <w:r>
        <w:rPr>
          <w:rFonts w:ascii="Times New Roman" w:hAnsi="Times New Roman"/>
          <w:b/>
          <w:color w:val="003087"/>
          <w:sz w:val="22"/>
        </w:rPr>
        <w:t>5.3 Key Risks</w:t>
      </w:r>
    </w:p>
    <w:p>
      <w:pPr>
        <w:pStyle w:val="ListBullet"/>
        <w:spacing w:before="20" w:after="20"/>
        <w:ind w:left="432"/>
      </w:pPr>
      <w:r>
        <w:rPr>
          <w:rFonts w:ascii="Times New Roman" w:hAnsi="Times New Roman"/>
          <w:sz w:val="20"/>
        </w:rPr>
        <w:t>FINANCING RISK (HIGH): Cash of $242.8M vs. ~$305M annual burn implies equity raise in H2 2026; dilution would pressure EPS and stock</w:t>
      </w:r>
    </w:p>
    <w:p>
      <w:pPr>
        <w:pStyle w:val="ListBullet"/>
        <w:spacing w:before="20" w:after="20"/>
        <w:ind w:left="432"/>
      </w:pPr>
      <w:r>
        <w:rPr>
          <w:rFonts w:ascii="Times New Roman" w:hAnsi="Times New Roman"/>
          <w:sz w:val="20"/>
        </w:rPr>
        <w:t>REGULATORY RISK (MEDIUM): sBLA for papillary-only NMIBC received one CRL already; second CRL cannot be excluded</w:t>
      </w:r>
    </w:p>
    <w:p>
      <w:pPr>
        <w:pStyle w:val="ListBullet"/>
        <w:spacing w:before="20" w:after="20"/>
        <w:ind w:left="432"/>
      </w:pPr>
      <w:r>
        <w:rPr>
          <w:rFonts w:ascii="Times New Roman" w:hAnsi="Times New Roman"/>
          <w:sz w:val="20"/>
        </w:rPr>
        <w:t>COMPETITIVE RISK (MEDIUM): BCG remains the standard of care; new entrants (TAR-200, UGN-102) are advancing in NMIBC</w:t>
      </w:r>
    </w:p>
    <w:p>
      <w:pPr>
        <w:pStyle w:val="ListBullet"/>
        <w:spacing w:before="20" w:after="20"/>
        <w:ind w:left="432"/>
      </w:pPr>
      <w:r>
        <w:rPr>
          <w:rFonts w:ascii="Times New Roman" w:hAnsi="Times New Roman"/>
          <w:sz w:val="20"/>
        </w:rPr>
        <w:t>EXECUTION RISK (LOW-MEDIUM): European launch via Accord depends on reimbursement timelines in Germany and other markets</w:t>
      </w:r>
    </w:p>
    <w:p>
      <w:pPr>
        <w:pStyle w:val="ListBullet"/>
        <w:spacing w:before="20" w:after="20"/>
        <w:ind w:left="432"/>
      </w:pPr>
      <w:r>
        <w:rPr>
          <w:rFonts w:ascii="Times New Roman" w:hAnsi="Times New Roman"/>
          <w:sz w:val="20"/>
        </w:rPr>
        <w:t>CLINICAL RISK (LOW): Phase 3 BCG-naïve trial is interim-positive; final results could differ — though 84% vs. 52% CR is a wide gap</w:t>
      </w:r>
    </w:p>
    <w:p>
      <w:pPr>
        <w:spacing w:before="120" w:after="80"/>
      </w:pPr>
      <w:r>
        <w:rPr>
          <w:rFonts w:ascii="Times New Roman" w:hAnsi="Times New Roman"/>
          <w:b/>
          <w:color w:val="003087"/>
          <w:sz w:val="22"/>
        </w:rPr>
        <w:t>5.4 Key Catalysts (12-Month)</w:t>
      </w:r>
    </w:p>
    <w:p>
      <w:pPr>
        <w:pStyle w:val="ListBullet"/>
        <w:spacing w:before="20" w:after="20"/>
        <w:ind w:left="432"/>
      </w:pPr>
      <w:r>
        <w:rPr>
          <w:rFonts w:ascii="Times New Roman" w:hAnsi="Times New Roman"/>
          <w:color w:val="003087"/>
          <w:sz w:val="20"/>
        </w:rPr>
        <w:t>FDA decision on papillary-only sBLA (estimated Q4 2026 under PDUFA timeline post-March 2026 resubmission)</w:t>
      </w:r>
    </w:p>
    <w:p>
      <w:pPr>
        <w:pStyle w:val="ListBullet"/>
        <w:spacing w:before="20" w:after="20"/>
        <w:ind w:left="432"/>
      </w:pPr>
      <w:r>
        <w:rPr>
          <w:rFonts w:ascii="Times New Roman" w:hAnsi="Times New Roman"/>
          <w:color w:val="003087"/>
          <w:sz w:val="20"/>
        </w:rPr>
        <w:t>QUILT 2.005 BLA filing for BCG-naïve NMIBC (Q4 2026E) — transformative for long-term revenue</w:t>
      </w:r>
    </w:p>
    <w:p>
      <w:pPr>
        <w:pStyle w:val="ListBullet"/>
        <w:spacing w:before="20" w:after="20"/>
        <w:ind w:left="432"/>
      </w:pPr>
      <w:r>
        <w:rPr>
          <w:rFonts w:ascii="Times New Roman" w:hAnsi="Times New Roman"/>
          <w:color w:val="003087"/>
          <w:sz w:val="20"/>
        </w:rPr>
        <w:t>European commercial launch by Accord Healthcare (Germany, H2 2026E)</w:t>
      </w:r>
    </w:p>
    <w:p>
      <w:pPr>
        <w:pStyle w:val="ListBullet"/>
        <w:spacing w:before="20" w:after="20"/>
        <w:ind w:left="432"/>
      </w:pPr>
      <w:r>
        <w:rPr>
          <w:rFonts w:ascii="Times New Roman" w:hAnsi="Times New Roman"/>
          <w:color w:val="003087"/>
          <w:sz w:val="20"/>
        </w:rPr>
        <w:t>Q1 2026 earnings (expected May 2026) — will confirm whether 20%+ QoQ growth trajectory continues</w:t>
      </w:r>
    </w:p>
    <w:p>
      <w:pPr>
        <w:pStyle w:val="ListBullet"/>
        <w:spacing w:before="20" w:after="20"/>
        <w:ind w:left="432"/>
      </w:pPr>
      <w:r>
        <w:rPr>
          <w:rFonts w:ascii="Times New Roman" w:hAnsi="Times New Roman"/>
          <w:color w:val="003087"/>
          <w:sz w:val="20"/>
        </w:rPr>
        <w:t>Additional NSCLC data readout and potential EU filing</w:t>
      </w:r>
    </w:p>
    <w:p>
      <w:pPr>
        <w:pStyle w:val="ListBullet"/>
        <w:spacing w:before="20" w:after="20"/>
        <w:ind w:left="432"/>
      </w:pPr>
      <w:r>
        <w:rPr>
          <w:rFonts w:ascii="Times New Roman" w:hAnsi="Times New Roman"/>
          <w:color w:val="003087"/>
          <w:sz w:val="20"/>
        </w:rPr>
        <w:t>Potential partnership or licensing deal to address cash runway</w:t>
      </w:r>
    </w:p>
    <w:p>
      <w:r>
        <w:br w:type="page"/>
      </w:r>
    </w:p>
    <w:p>
      <w:pPr>
        <w:spacing w:before="200" w:after="80"/>
      </w:pPr>
      <w:r>
        <w:rPr>
          <w:rFonts w:ascii="Times New Roman" w:hAnsi="Times New Roman"/>
          <w:b/>
          <w:color w:val="003087"/>
          <w:sz w:val="28"/>
        </w:rPr>
        <w:t>6. VALUATION &amp; UPDATED ESTIMATES</w:t>
      </w:r>
    </w:p>
    <w:p>
      <w:pPr>
        <w:spacing w:before="80" w:after="80"/>
        <w:pBdr>
          <w:bottom w:val="single" w:sz="4" w:space="1" w:color="003087"/>
        </w:pBdr>
      </w:pPr>
    </w:p>
    <w:p>
      <w:pPr>
        <w:spacing w:before="120" w:after="80"/>
      </w:pPr>
      <w:r>
        <w:rPr>
          <w:rFonts w:ascii="Times New Roman" w:hAnsi="Times New Roman"/>
          <w:b/>
          <w:color w:val="003087"/>
          <w:sz w:val="22"/>
        </w:rPr>
        <w:t>6.1 Estimate Revisions</w:t>
      </w:r>
    </w:p>
    <w:p>
      <w:pPr>
        <w:spacing w:before="40" w:after="40"/>
      </w:pPr>
      <w:r>
        <w:rPr>
          <w:rFonts w:ascii="Times New Roman" w:hAnsi="Times New Roman"/>
          <w:b w:val="0"/>
          <w:sz w:val="20"/>
        </w:rPr>
        <w:t>Following Q4 2025 results and the BCG-naïve interim data, we revise our estimates upward. Key changes are detailed below:</w:t>
      </w:r>
    </w:p>
    <w:p>
      <w:pPr>
        <w:jc w:val="center"/>
      </w:pPr>
      <w:r>
        <w:drawing>
          <wp:inline xmlns:a="http://schemas.openxmlformats.org/drawingml/2006/main" xmlns:pic="http://schemas.openxmlformats.org/drawingml/2006/picture">
            <wp:extent cx="5029200" cy="2837732"/>
            <wp:docPr id="9" name="Picture 9"/>
            <wp:cNvGraphicFramePr>
              <a:graphicFrameLocks noChangeAspect="1"/>
            </wp:cNvGraphicFramePr>
            <a:graphic>
              <a:graphicData uri="http://schemas.openxmlformats.org/drawingml/2006/picture">
                <pic:pic>
                  <pic:nvPicPr>
                    <pic:cNvPr id="0" name="ibrx_chart9_revisions.png"/>
                    <pic:cNvPicPr/>
                  </pic:nvPicPr>
                  <pic:blipFill>
                    <a:blip r:embed="rId17"/>
                    <a:stretch>
                      <a:fillRect/>
                    </a:stretch>
                  </pic:blipFill>
                  <pic:spPr>
                    <a:xfrm>
                      <a:off x="0" y="0"/>
                      <a:ext cx="5029200" cy="2837732"/>
                    </a:xfrm>
                    <a:prstGeom prst="rect"/>
                  </pic:spPr>
                </pic:pic>
              </a:graphicData>
            </a:graphic>
          </wp:inline>
        </w:drawing>
      </w:r>
    </w:p>
    <w:p>
      <w:pPr>
        <w:spacing w:before="40" w:after="40"/>
      </w:pPr>
      <w:r>
        <w:rPr>
          <w:rFonts w:ascii="Times New Roman" w:hAnsi="Times New Roman"/>
          <w:b w:val="0"/>
          <w:color w:val="5E6A71"/>
          <w:sz w:val="16"/>
        </w:rPr>
        <w:t>Figure 9: Consensus Estimate Revisions Pre vs. Post Q4 2025 Earnings | Source: Bloomberg, Piper Sandler, H.C. Wainwright</w:t>
      </w:r>
    </w:p>
    <w:p>
      <w:pPr>
        <w:spacing w:before="120" w:after="80"/>
      </w:pPr>
      <w:r>
        <w:rPr>
          <w:rFonts w:ascii="Times New Roman" w:hAnsi="Times New Roman"/>
          <w:b/>
          <w:color w:val="003087"/>
          <w:sz w:val="22"/>
        </w:rPr>
        <w:t>6.2 Revised Financial Estimates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003087"/>
          </w:tcPr>
          <w:p>
            <w:pPr>
              <w:jc w:val="center"/>
            </w:pPr>
            <w:r>
              <w:rPr>
                <w:rFonts w:ascii="Times New Roman" w:hAnsi="Times New Roman"/>
                <w:b/>
                <w:color w:val="FFFFFF"/>
                <w:sz w:val="18"/>
              </w:rPr>
              <w:t>($M unless noted)</w:t>
            </w:r>
          </w:p>
        </w:tc>
        <w:tc>
          <w:tcPr>
            <w:tcW w:type="dxa" w:w="1872"/>
            <w:shd w:val="clear" w:color="auto" w:fill="003087"/>
          </w:tcPr>
          <w:p>
            <w:pPr>
              <w:jc w:val="center"/>
            </w:pPr>
            <w:r>
              <w:rPr>
                <w:rFonts w:ascii="Times New Roman" w:hAnsi="Times New Roman"/>
                <w:b/>
                <w:color w:val="FFFFFF"/>
                <w:sz w:val="18"/>
              </w:rPr>
              <w:t>FY2024A</w:t>
            </w:r>
          </w:p>
        </w:tc>
        <w:tc>
          <w:tcPr>
            <w:tcW w:type="dxa" w:w="1872"/>
            <w:shd w:val="clear" w:color="auto" w:fill="003087"/>
          </w:tcPr>
          <w:p>
            <w:pPr>
              <w:jc w:val="center"/>
            </w:pPr>
            <w:r>
              <w:rPr>
                <w:rFonts w:ascii="Times New Roman" w:hAnsi="Times New Roman"/>
                <w:b/>
                <w:color w:val="FFFFFF"/>
                <w:sz w:val="18"/>
              </w:rPr>
              <w:t>FY2025A</w:t>
            </w:r>
          </w:p>
        </w:tc>
        <w:tc>
          <w:tcPr>
            <w:tcW w:type="dxa" w:w="1872"/>
            <w:shd w:val="clear" w:color="auto" w:fill="003087"/>
          </w:tcPr>
          <w:p>
            <w:pPr>
              <w:jc w:val="center"/>
            </w:pPr>
            <w:r>
              <w:rPr>
                <w:rFonts w:ascii="Times New Roman" w:hAnsi="Times New Roman"/>
                <w:b/>
                <w:color w:val="003087"/>
                <w:sz w:val="18"/>
              </w:rPr>
              <w:t>FY2026E</w:t>
            </w:r>
          </w:p>
        </w:tc>
        <w:tc>
          <w:tcPr>
            <w:tcW w:type="dxa" w:w="1872"/>
            <w:shd w:val="clear" w:color="auto" w:fill="003087"/>
          </w:tcPr>
          <w:p>
            <w:pPr>
              <w:jc w:val="center"/>
            </w:pPr>
            <w:r>
              <w:rPr>
                <w:rFonts w:ascii="Times New Roman" w:hAnsi="Times New Roman"/>
                <w:b/>
                <w:color w:val="003087"/>
                <w:sz w:val="18"/>
              </w:rPr>
              <w:t>FY2027E</w:t>
            </w:r>
          </w:p>
        </w:tc>
      </w:tr>
      <w:tr>
        <w:tc>
          <w:tcPr>
            <w:tcW w:type="dxa" w:w="1872"/>
          </w:tcPr>
          <w:p>
            <w:r>
              <w:rPr>
                <w:rFonts w:ascii="Times New Roman" w:hAnsi="Times New Roman"/>
                <w:b/>
                <w:sz w:val="18"/>
              </w:rPr>
              <w:t>Net Product Revenue</w:t>
            </w:r>
          </w:p>
        </w:tc>
        <w:tc>
          <w:tcPr>
            <w:tcW w:type="dxa" w:w="1872"/>
          </w:tcPr>
          <w:p>
            <w:r>
              <w:rPr>
                <w:rFonts w:ascii="Times New Roman" w:hAnsi="Times New Roman"/>
                <w:sz w:val="18"/>
              </w:rPr>
              <w:t>$15.7M</w:t>
            </w:r>
          </w:p>
        </w:tc>
        <w:tc>
          <w:tcPr>
            <w:tcW w:type="dxa" w:w="1872"/>
          </w:tcPr>
          <w:p>
            <w:r>
              <w:rPr>
                <w:rFonts w:ascii="Times New Roman" w:hAnsi="Times New Roman"/>
                <w:sz w:val="18"/>
              </w:rPr>
              <w:t>$113.3M</w:t>
            </w:r>
          </w:p>
        </w:tc>
        <w:tc>
          <w:tcPr>
            <w:tcW w:type="dxa" w:w="1872"/>
          </w:tcPr>
          <w:p>
            <w:r>
              <w:rPr>
                <w:rFonts w:ascii="Times New Roman" w:hAnsi="Times New Roman"/>
                <w:sz w:val="18"/>
              </w:rPr>
              <w:t>$195.0M</w:t>
            </w:r>
          </w:p>
        </w:tc>
        <w:tc>
          <w:tcPr>
            <w:tcW w:type="dxa" w:w="1872"/>
          </w:tcPr>
          <w:p>
            <w:r>
              <w:rPr>
                <w:rFonts w:ascii="Times New Roman" w:hAnsi="Times New Roman"/>
                <w:sz w:val="18"/>
              </w:rPr>
              <w:t>$340.0M</w:t>
            </w:r>
          </w:p>
        </w:tc>
      </w:tr>
      <w:tr>
        <w:tc>
          <w:tcPr>
            <w:tcW w:type="dxa" w:w="1872"/>
          </w:tcPr>
          <w:p>
            <w:r>
              <w:rPr>
                <w:rFonts w:ascii="Times New Roman" w:hAnsi="Times New Roman"/>
                <w:b/>
                <w:sz w:val="18"/>
              </w:rPr>
              <w:t xml:space="preserve">  YoY Growth</w:t>
            </w:r>
          </w:p>
        </w:tc>
        <w:tc>
          <w:tcPr>
            <w:tcW w:type="dxa" w:w="1872"/>
            <w:shd w:val="clear" w:color="auto" w:fill="E8EDF7"/>
          </w:tcPr>
          <w:p>
            <w:r>
              <w:rPr>
                <w:rFonts w:ascii="Times New Roman" w:hAnsi="Times New Roman"/>
                <w:sz w:val="18"/>
              </w:rPr>
              <w:t>N/M</w:t>
            </w:r>
          </w:p>
        </w:tc>
        <w:tc>
          <w:tcPr>
            <w:tcW w:type="dxa" w:w="1872"/>
            <w:shd w:val="clear" w:color="auto" w:fill="E8EDF7"/>
          </w:tcPr>
          <w:p>
            <w:r>
              <w:rPr>
                <w:rFonts w:ascii="Times New Roman" w:hAnsi="Times New Roman"/>
                <w:sz w:val="18"/>
              </w:rPr>
              <w:t>+621%</w:t>
            </w:r>
          </w:p>
        </w:tc>
        <w:tc>
          <w:tcPr>
            <w:tcW w:type="dxa" w:w="1872"/>
            <w:shd w:val="clear" w:color="auto" w:fill="E8EDF7"/>
          </w:tcPr>
          <w:p>
            <w:r>
              <w:rPr>
                <w:rFonts w:ascii="Times New Roman" w:hAnsi="Times New Roman"/>
                <w:sz w:val="18"/>
              </w:rPr>
              <w:t>+72%</w:t>
            </w:r>
          </w:p>
        </w:tc>
        <w:tc>
          <w:tcPr>
            <w:tcW w:type="dxa" w:w="1872"/>
            <w:shd w:val="clear" w:color="auto" w:fill="E8EDF7"/>
          </w:tcPr>
          <w:p>
            <w:r>
              <w:rPr>
                <w:rFonts w:ascii="Times New Roman" w:hAnsi="Times New Roman"/>
                <w:sz w:val="18"/>
              </w:rPr>
              <w:t>+74%</w:t>
            </w:r>
          </w:p>
        </w:tc>
      </w:tr>
      <w:tr>
        <w:tc>
          <w:tcPr>
            <w:tcW w:type="dxa" w:w="1872"/>
          </w:tcPr>
          <w:p>
            <w:r>
              <w:rPr>
                <w:rFonts w:ascii="Times New Roman" w:hAnsi="Times New Roman"/>
                <w:b/>
                <w:sz w:val="18"/>
              </w:rPr>
              <w:t>R&amp;D Expense</w:t>
            </w:r>
          </w:p>
        </w:tc>
        <w:tc>
          <w:tcPr>
            <w:tcW w:type="dxa" w:w="1872"/>
          </w:tcPr>
          <w:p>
            <w:r>
              <w:rPr>
                <w:rFonts w:ascii="Times New Roman" w:hAnsi="Times New Roman"/>
                <w:sz w:val="18"/>
              </w:rPr>
              <w:t>$190.2M</w:t>
            </w:r>
          </w:p>
        </w:tc>
        <w:tc>
          <w:tcPr>
            <w:tcW w:type="dxa" w:w="1872"/>
          </w:tcPr>
          <w:p>
            <w:r>
              <w:rPr>
                <w:rFonts w:ascii="Times New Roman" w:hAnsi="Times New Roman"/>
                <w:sz w:val="18"/>
              </w:rPr>
              <w:t>$218.6M</w:t>
            </w:r>
          </w:p>
        </w:tc>
        <w:tc>
          <w:tcPr>
            <w:tcW w:type="dxa" w:w="1872"/>
          </w:tcPr>
          <w:p>
            <w:r>
              <w:rPr>
                <w:rFonts w:ascii="Times New Roman" w:hAnsi="Times New Roman"/>
                <w:sz w:val="18"/>
              </w:rPr>
              <w:t>$200.0M</w:t>
            </w:r>
          </w:p>
        </w:tc>
        <w:tc>
          <w:tcPr>
            <w:tcW w:type="dxa" w:w="1872"/>
          </w:tcPr>
          <w:p>
            <w:r>
              <w:rPr>
                <w:rFonts w:ascii="Times New Roman" w:hAnsi="Times New Roman"/>
                <w:sz w:val="18"/>
              </w:rPr>
              <w:t>$185.0M</w:t>
            </w:r>
          </w:p>
        </w:tc>
      </w:tr>
      <w:tr>
        <w:tc>
          <w:tcPr>
            <w:tcW w:type="dxa" w:w="1872"/>
          </w:tcPr>
          <w:p>
            <w:r>
              <w:rPr>
                <w:rFonts w:ascii="Times New Roman" w:hAnsi="Times New Roman"/>
                <w:b/>
                <w:sz w:val="18"/>
              </w:rPr>
              <w:t>SG&amp;A Expense</w:t>
            </w:r>
          </w:p>
        </w:tc>
        <w:tc>
          <w:tcPr>
            <w:tcW w:type="dxa" w:w="1872"/>
            <w:shd w:val="clear" w:color="auto" w:fill="E8EDF7"/>
          </w:tcPr>
          <w:p>
            <w:r>
              <w:rPr>
                <w:rFonts w:ascii="Times New Roman" w:hAnsi="Times New Roman"/>
                <w:sz w:val="18"/>
              </w:rPr>
              <w:t>$168.8M</w:t>
            </w:r>
          </w:p>
        </w:tc>
        <w:tc>
          <w:tcPr>
            <w:tcW w:type="dxa" w:w="1872"/>
            <w:shd w:val="clear" w:color="auto" w:fill="E8EDF7"/>
          </w:tcPr>
          <w:p>
            <w:r>
              <w:rPr>
                <w:rFonts w:ascii="Times New Roman" w:hAnsi="Times New Roman"/>
                <w:sz w:val="18"/>
              </w:rPr>
              <w:t>$150.0M</w:t>
            </w:r>
          </w:p>
        </w:tc>
        <w:tc>
          <w:tcPr>
            <w:tcW w:type="dxa" w:w="1872"/>
            <w:shd w:val="clear" w:color="auto" w:fill="E8EDF7"/>
          </w:tcPr>
          <w:p>
            <w:r>
              <w:rPr>
                <w:rFonts w:ascii="Times New Roman" w:hAnsi="Times New Roman"/>
                <w:sz w:val="18"/>
              </w:rPr>
              <w:t>$140.0M</w:t>
            </w:r>
          </w:p>
        </w:tc>
        <w:tc>
          <w:tcPr>
            <w:tcW w:type="dxa" w:w="1872"/>
            <w:shd w:val="clear" w:color="auto" w:fill="E8EDF7"/>
          </w:tcPr>
          <w:p>
            <w:r>
              <w:rPr>
                <w:rFonts w:ascii="Times New Roman" w:hAnsi="Times New Roman"/>
                <w:sz w:val="18"/>
              </w:rPr>
              <w:t>$130.0M</w:t>
            </w:r>
          </w:p>
        </w:tc>
      </w:tr>
      <w:tr>
        <w:tc>
          <w:tcPr>
            <w:tcW w:type="dxa" w:w="1872"/>
          </w:tcPr>
          <w:p>
            <w:r>
              <w:rPr>
                <w:rFonts w:ascii="Times New Roman" w:hAnsi="Times New Roman"/>
                <w:b/>
                <w:sz w:val="18"/>
              </w:rPr>
              <w:t>Net Loss</w:t>
            </w:r>
          </w:p>
        </w:tc>
        <w:tc>
          <w:tcPr>
            <w:tcW w:type="dxa" w:w="1872"/>
          </w:tcPr>
          <w:p>
            <w:r>
              <w:rPr>
                <w:rFonts w:ascii="Times New Roman" w:hAnsi="Times New Roman"/>
                <w:sz w:val="18"/>
              </w:rPr>
              <w:t>($413.6M)</w:t>
            </w:r>
          </w:p>
        </w:tc>
        <w:tc>
          <w:tcPr>
            <w:tcW w:type="dxa" w:w="1872"/>
          </w:tcPr>
          <w:p>
            <w:r>
              <w:rPr>
                <w:rFonts w:ascii="Times New Roman" w:hAnsi="Times New Roman"/>
                <w:sz w:val="18"/>
              </w:rPr>
              <w:t>($351.4M)</w:t>
            </w:r>
          </w:p>
        </w:tc>
        <w:tc>
          <w:tcPr>
            <w:tcW w:type="dxa" w:w="1872"/>
          </w:tcPr>
          <w:p>
            <w:r>
              <w:rPr>
                <w:rFonts w:ascii="Times New Roman" w:hAnsi="Times New Roman"/>
                <w:sz w:val="18"/>
              </w:rPr>
              <w:t>($280.0M)</w:t>
            </w:r>
          </w:p>
        </w:tc>
        <w:tc>
          <w:tcPr>
            <w:tcW w:type="dxa" w:w="1872"/>
          </w:tcPr>
          <w:p>
            <w:r>
              <w:rPr>
                <w:rFonts w:ascii="Times New Roman" w:hAnsi="Times New Roman"/>
                <w:sz w:val="18"/>
              </w:rPr>
              <w:t>($100.0M)</w:t>
            </w:r>
          </w:p>
        </w:tc>
      </w:tr>
      <w:tr>
        <w:tc>
          <w:tcPr>
            <w:tcW w:type="dxa" w:w="1872"/>
          </w:tcPr>
          <w:p>
            <w:r>
              <w:rPr>
                <w:rFonts w:ascii="Times New Roman" w:hAnsi="Times New Roman"/>
                <w:b/>
                <w:sz w:val="18"/>
              </w:rPr>
              <w:t>EPS (Basic Loss)</w:t>
            </w:r>
          </w:p>
        </w:tc>
        <w:tc>
          <w:tcPr>
            <w:tcW w:type="dxa" w:w="1872"/>
            <w:shd w:val="clear" w:color="auto" w:fill="E8EDF7"/>
          </w:tcPr>
          <w:p>
            <w:r>
              <w:rPr>
                <w:rFonts w:ascii="Times New Roman" w:hAnsi="Times New Roman"/>
                <w:sz w:val="18"/>
              </w:rPr>
              <w:t>($0.44)</w:t>
            </w:r>
          </w:p>
        </w:tc>
        <w:tc>
          <w:tcPr>
            <w:tcW w:type="dxa" w:w="1872"/>
            <w:shd w:val="clear" w:color="auto" w:fill="E8EDF7"/>
          </w:tcPr>
          <w:p>
            <w:r>
              <w:rPr>
                <w:rFonts w:ascii="Times New Roman" w:hAnsi="Times New Roman"/>
                <w:sz w:val="18"/>
              </w:rPr>
              <w:t>($0.33)</w:t>
            </w:r>
          </w:p>
        </w:tc>
        <w:tc>
          <w:tcPr>
            <w:tcW w:type="dxa" w:w="1872"/>
            <w:shd w:val="clear" w:color="auto" w:fill="E8EDF7"/>
          </w:tcPr>
          <w:p>
            <w:r>
              <w:rPr>
                <w:rFonts w:ascii="Times New Roman" w:hAnsi="Times New Roman"/>
                <w:sz w:val="18"/>
              </w:rPr>
              <w:t>($0.25)</w:t>
            </w:r>
          </w:p>
        </w:tc>
        <w:tc>
          <w:tcPr>
            <w:tcW w:type="dxa" w:w="1872"/>
            <w:shd w:val="clear" w:color="auto" w:fill="E8EDF7"/>
          </w:tcPr>
          <w:p>
            <w:r>
              <w:rPr>
                <w:rFonts w:ascii="Times New Roman" w:hAnsi="Times New Roman"/>
                <w:sz w:val="18"/>
              </w:rPr>
              <w:t>($0.09)</w:t>
            </w:r>
          </w:p>
        </w:tc>
      </w:tr>
      <w:tr>
        <w:tc>
          <w:tcPr>
            <w:tcW w:type="dxa" w:w="1872"/>
          </w:tcPr>
          <w:p>
            <w:r>
              <w:rPr>
                <w:rFonts w:ascii="Times New Roman" w:hAnsi="Times New Roman"/>
                <w:b/>
                <w:sz w:val="18"/>
              </w:rPr>
              <w:t>Cash &amp; Mkt. Securities</w:t>
            </w:r>
          </w:p>
        </w:tc>
        <w:tc>
          <w:tcPr>
            <w:tcW w:type="dxa" w:w="1872"/>
          </w:tcPr>
          <w:p>
            <w:r>
              <w:rPr>
                <w:rFonts w:ascii="Times New Roman" w:hAnsi="Times New Roman"/>
                <w:sz w:val="18"/>
              </w:rPr>
              <w:t>~$288M</w:t>
            </w:r>
          </w:p>
        </w:tc>
        <w:tc>
          <w:tcPr>
            <w:tcW w:type="dxa" w:w="1872"/>
          </w:tcPr>
          <w:p>
            <w:r>
              <w:rPr>
                <w:rFonts w:ascii="Times New Roman" w:hAnsi="Times New Roman"/>
                <w:sz w:val="18"/>
              </w:rPr>
              <w:t>$242.8M</w:t>
            </w:r>
          </w:p>
        </w:tc>
        <w:tc>
          <w:tcPr>
            <w:tcW w:type="dxa" w:w="1872"/>
          </w:tcPr>
          <w:p>
            <w:r>
              <w:rPr>
                <w:rFonts w:ascii="Times New Roman" w:hAnsi="Times New Roman"/>
                <w:sz w:val="18"/>
              </w:rPr>
              <w:t>$150.0ME</w:t>
            </w:r>
          </w:p>
        </w:tc>
        <w:tc>
          <w:tcPr>
            <w:tcW w:type="dxa" w:w="1872"/>
          </w:tcPr>
          <w:p>
            <w:r>
              <w:rPr>
                <w:rFonts w:ascii="Times New Roman" w:hAnsi="Times New Roman"/>
                <w:sz w:val="18"/>
              </w:rPr>
              <w:t>N/A</w:t>
            </w:r>
          </w:p>
        </w:tc>
      </w:tr>
      <w:tr>
        <w:tc>
          <w:tcPr>
            <w:tcW w:type="dxa" w:w="1872"/>
          </w:tcPr>
          <w:p>
            <w:r>
              <w:rPr>
                <w:rFonts w:ascii="Times New Roman" w:hAnsi="Times New Roman"/>
                <w:b/>
                <w:sz w:val="18"/>
              </w:rPr>
              <w:t>Operating Cash Burn</w:t>
            </w:r>
          </w:p>
        </w:tc>
        <w:tc>
          <w:tcPr>
            <w:tcW w:type="dxa" w:w="1872"/>
            <w:shd w:val="clear" w:color="auto" w:fill="E8EDF7"/>
          </w:tcPr>
          <w:p>
            <w:r>
              <w:rPr>
                <w:rFonts w:ascii="Times New Roman" w:hAnsi="Times New Roman"/>
                <w:sz w:val="18"/>
              </w:rPr>
              <w:t>~($360M)</w:t>
            </w:r>
          </w:p>
        </w:tc>
        <w:tc>
          <w:tcPr>
            <w:tcW w:type="dxa" w:w="1872"/>
            <w:shd w:val="clear" w:color="auto" w:fill="E8EDF7"/>
          </w:tcPr>
          <w:p>
            <w:r>
              <w:rPr>
                <w:rFonts w:ascii="Times New Roman" w:hAnsi="Times New Roman"/>
                <w:sz w:val="18"/>
              </w:rPr>
              <w:t>~($305M)</w:t>
            </w:r>
          </w:p>
        </w:tc>
        <w:tc>
          <w:tcPr>
            <w:tcW w:type="dxa" w:w="1872"/>
            <w:shd w:val="clear" w:color="auto" w:fill="E8EDF7"/>
          </w:tcPr>
          <w:p>
            <w:r>
              <w:rPr>
                <w:rFonts w:ascii="Times New Roman" w:hAnsi="Times New Roman"/>
                <w:sz w:val="18"/>
              </w:rPr>
              <w:t>~($240M)</w:t>
            </w:r>
          </w:p>
        </w:tc>
        <w:tc>
          <w:tcPr>
            <w:tcW w:type="dxa" w:w="1872"/>
            <w:shd w:val="clear" w:color="auto" w:fill="E8EDF7"/>
          </w:tcPr>
          <w:p>
            <w:r>
              <w:rPr>
                <w:rFonts w:ascii="Times New Roman" w:hAnsi="Times New Roman"/>
                <w:sz w:val="18"/>
              </w:rPr>
              <w:t>~($100M)</w:t>
            </w:r>
          </w:p>
        </w:tc>
      </w:tr>
    </w:tbl>
    <w:p/>
    <w:p>
      <w:pPr>
        <w:spacing w:before="40" w:after="40"/>
      </w:pPr>
      <w:r>
        <w:rPr>
          <w:rFonts w:ascii="Times New Roman" w:hAnsi="Times New Roman"/>
          <w:b w:val="0"/>
          <w:color w:val="5E6A71"/>
          <w:sz w:val="16"/>
        </w:rPr>
        <w:t>Note: FY2026E/FY2027E are analyst consensus estimates (Piper Sandler/H.C. Wainwright); 'E' denotes estimated. Cash FY2026E assumes no additional financing.</w:t>
      </w:r>
    </w:p>
    <w:p>
      <w:pPr>
        <w:spacing w:before="120" w:after="80"/>
      </w:pPr>
      <w:r>
        <w:rPr>
          <w:rFonts w:ascii="Times New Roman" w:hAnsi="Times New Roman"/>
          <w:b/>
          <w:color w:val="003087"/>
          <w:sz w:val="22"/>
        </w:rPr>
        <w:t>6.3 Comparable Company Valuation</w:t>
      </w:r>
    </w:p>
    <w:p>
      <w:pPr>
        <w:spacing w:before="40" w:after="40"/>
      </w:pPr>
      <w:r>
        <w:rPr>
          <w:rFonts w:ascii="Times New Roman" w:hAnsi="Times New Roman"/>
          <w:b w:val="0"/>
          <w:sz w:val="20"/>
        </w:rPr>
        <w:t>IBRX trades at approximately 42x EV/NTM Revenue, a significant premium to oncology biotech peers (5–12x range). This premium reflects: (a) the high-growth ANKTIVA ramp (72% FY2026 consensus growth), (b) multiple near-term catalysts, and (c) the potential of a multi-indication bladder cancer + lung cancer platform. However, the premium is contingent on continued execution — any miss on the commercial trajectory or adverse FDA decision would likely compress the multiple significantly.</w:t>
      </w:r>
    </w:p>
    <w:p>
      <w:pPr>
        <w:jc w:val="center"/>
      </w:pPr>
      <w:r>
        <w:drawing>
          <wp:inline xmlns:a="http://schemas.openxmlformats.org/drawingml/2006/main" xmlns:pic="http://schemas.openxmlformats.org/drawingml/2006/picture">
            <wp:extent cx="5486400" cy="2731645"/>
            <wp:docPr id="10" name="Picture 10"/>
            <wp:cNvGraphicFramePr>
              <a:graphicFrameLocks noChangeAspect="1"/>
            </wp:cNvGraphicFramePr>
            <a:graphic>
              <a:graphicData uri="http://schemas.openxmlformats.org/drawingml/2006/picture">
                <pic:pic>
                  <pic:nvPicPr>
                    <pic:cNvPr id="0" name="ibrx_chart10_valuation.png"/>
                    <pic:cNvPicPr/>
                  </pic:nvPicPr>
                  <pic:blipFill>
                    <a:blip r:embed="rId18"/>
                    <a:stretch>
                      <a:fillRect/>
                    </a:stretch>
                  </pic:blipFill>
                  <pic:spPr>
                    <a:xfrm>
                      <a:off x="0" y="0"/>
                      <a:ext cx="5486400" cy="2731645"/>
                    </a:xfrm>
                    <a:prstGeom prst="rect"/>
                  </pic:spPr>
                </pic:pic>
              </a:graphicData>
            </a:graphic>
          </wp:inline>
        </w:drawing>
      </w:r>
    </w:p>
    <w:p>
      <w:pPr>
        <w:spacing w:before="40" w:after="40"/>
      </w:pPr>
      <w:r>
        <w:rPr>
          <w:rFonts w:ascii="Times New Roman" w:hAnsi="Times New Roman"/>
          <w:b w:val="0"/>
          <w:color w:val="5E6A71"/>
          <w:sz w:val="16"/>
        </w:rPr>
        <w:t>Figure 10: EV/NTM Revenue — IBRX vs. Comparable Oncology Biotechs | Source: Bloomberg, FactSet (March 2026)</w:t>
      </w:r>
    </w:p>
    <w:p>
      <w:pPr>
        <w:spacing w:before="120" w:after="80"/>
      </w:pPr>
      <w:r>
        <w:rPr>
          <w:rFonts w:ascii="Times New Roman" w:hAnsi="Times New Roman"/>
          <w:b/>
          <w:color w:val="003087"/>
          <w:sz w:val="22"/>
        </w:rPr>
        <w:t>6.4 Price Target Justification</w:t>
      </w:r>
    </w:p>
    <w:p>
      <w:pPr>
        <w:spacing w:before="40" w:after="40"/>
      </w:pPr>
      <w:r>
        <w:rPr>
          <w:rFonts w:ascii="Times New Roman" w:hAnsi="Times New Roman"/>
          <w:b w:val="0"/>
          <w:sz w:val="20"/>
        </w:rPr>
        <w:t>Our revised $12.00 price target (from $7.00) is based on a blended risk-adjusted EV/Revenue approach applied to FY2026E and FY2027E consensus revenue estimates: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003087"/>
          </w:tcPr>
          <w:p>
            <w:pPr>
              <w:jc w:val="center"/>
            </w:pPr>
            <w:r>
              <w:rPr>
                <w:rFonts w:ascii="Times New Roman" w:hAnsi="Times New Roman"/>
                <w:b/>
                <w:color w:val="FFFFFF"/>
                <w:sz w:val="17"/>
              </w:rPr>
              <w:t>Scenario</w:t>
            </w:r>
          </w:p>
        </w:tc>
        <w:tc>
          <w:tcPr>
            <w:tcW w:type="dxa" w:w="1560"/>
            <w:shd w:val="clear" w:color="auto" w:fill="003087"/>
          </w:tcPr>
          <w:p>
            <w:pPr>
              <w:jc w:val="center"/>
            </w:pPr>
            <w:r>
              <w:rPr>
                <w:rFonts w:ascii="Times New Roman" w:hAnsi="Times New Roman"/>
                <w:b/>
                <w:color w:val="FFFFFF"/>
                <w:sz w:val="17"/>
              </w:rPr>
              <w:t>FY2027E Revenue</w:t>
            </w:r>
          </w:p>
        </w:tc>
        <w:tc>
          <w:tcPr>
            <w:tcW w:type="dxa" w:w="1560"/>
            <w:shd w:val="clear" w:color="auto" w:fill="003087"/>
          </w:tcPr>
          <w:p>
            <w:pPr>
              <w:jc w:val="center"/>
            </w:pPr>
            <w:r>
              <w:rPr>
                <w:rFonts w:ascii="Times New Roman" w:hAnsi="Times New Roman"/>
                <w:b/>
                <w:color w:val="FFFFFF"/>
                <w:sz w:val="17"/>
              </w:rPr>
              <w:t>Target Multiple</w:t>
            </w:r>
          </w:p>
        </w:tc>
        <w:tc>
          <w:tcPr>
            <w:tcW w:type="dxa" w:w="1560"/>
            <w:shd w:val="clear" w:color="auto" w:fill="003087"/>
          </w:tcPr>
          <w:p>
            <w:pPr>
              <w:jc w:val="center"/>
            </w:pPr>
            <w:r>
              <w:rPr>
                <w:rFonts w:ascii="Times New Roman" w:hAnsi="Times New Roman"/>
                <w:b/>
                <w:color w:val="FFFFFF"/>
                <w:sz w:val="17"/>
              </w:rPr>
              <w:t>Enterprise Value</w:t>
            </w:r>
          </w:p>
        </w:tc>
        <w:tc>
          <w:tcPr>
            <w:tcW w:type="dxa" w:w="1560"/>
            <w:shd w:val="clear" w:color="auto" w:fill="003087"/>
          </w:tcPr>
          <w:p>
            <w:pPr>
              <w:jc w:val="center"/>
            </w:pPr>
            <w:r>
              <w:rPr>
                <w:rFonts w:ascii="Times New Roman" w:hAnsi="Times New Roman"/>
                <w:b/>
                <w:color w:val="FFFFFF"/>
                <w:sz w:val="17"/>
              </w:rPr>
              <w:t>Equity Value / Share</w:t>
            </w:r>
          </w:p>
        </w:tc>
        <w:tc>
          <w:tcPr>
            <w:tcW w:type="dxa" w:w="1560"/>
            <w:shd w:val="clear" w:color="auto" w:fill="003087"/>
          </w:tcPr>
          <w:p>
            <w:pPr>
              <w:jc w:val="center"/>
            </w:pPr>
            <w:r>
              <w:rPr>
                <w:rFonts w:ascii="Times New Roman" w:hAnsi="Times New Roman"/>
                <w:b/>
                <w:color w:val="FFFFFF"/>
                <w:sz w:val="17"/>
              </w:rPr>
              <w:t>Weight</w:t>
            </w:r>
          </w:p>
        </w:tc>
      </w:tr>
      <w:tr>
        <w:tc>
          <w:tcPr>
            <w:tcW w:type="dxa" w:w="1560"/>
          </w:tcPr>
          <w:p>
            <w:r>
              <w:rPr>
                <w:rFonts w:ascii="Times New Roman" w:hAnsi="Times New Roman"/>
                <w:sz w:val="17"/>
              </w:rPr>
              <w:t>Bull — BCG-Naïve BLA Filed</w:t>
            </w:r>
          </w:p>
        </w:tc>
        <w:tc>
          <w:tcPr>
            <w:tcW w:type="dxa" w:w="1560"/>
          </w:tcPr>
          <w:p>
            <w:r>
              <w:rPr>
                <w:rFonts w:ascii="Times New Roman" w:hAnsi="Times New Roman"/>
                <w:sz w:val="17"/>
              </w:rPr>
              <w:t>$400M</w:t>
            </w:r>
          </w:p>
        </w:tc>
        <w:tc>
          <w:tcPr>
            <w:tcW w:type="dxa" w:w="1560"/>
          </w:tcPr>
          <w:p>
            <w:r>
              <w:rPr>
                <w:rFonts w:ascii="Times New Roman" w:hAnsi="Times New Roman"/>
                <w:sz w:val="17"/>
              </w:rPr>
              <w:t>25x</w:t>
            </w:r>
          </w:p>
        </w:tc>
        <w:tc>
          <w:tcPr>
            <w:tcW w:type="dxa" w:w="1560"/>
          </w:tcPr>
          <w:p>
            <w:r>
              <w:rPr>
                <w:rFonts w:ascii="Times New Roman" w:hAnsi="Times New Roman"/>
                <w:sz w:val="17"/>
              </w:rPr>
              <w:t>$10.0B</w:t>
            </w:r>
          </w:p>
        </w:tc>
        <w:tc>
          <w:tcPr>
            <w:tcW w:type="dxa" w:w="1560"/>
          </w:tcPr>
          <w:p>
            <w:r>
              <w:rPr>
                <w:rFonts w:ascii="Times New Roman" w:hAnsi="Times New Roman"/>
                <w:sz w:val="17"/>
              </w:rPr>
              <w:t>$9.43/sh</w:t>
            </w:r>
          </w:p>
        </w:tc>
        <w:tc>
          <w:tcPr>
            <w:tcW w:type="dxa" w:w="1560"/>
          </w:tcPr>
          <w:p>
            <w:r>
              <w:rPr>
                <w:rFonts w:ascii="Times New Roman" w:hAnsi="Times New Roman"/>
                <w:sz w:val="17"/>
              </w:rPr>
              <w:t>35%</w:t>
            </w:r>
          </w:p>
        </w:tc>
      </w:tr>
      <w:tr>
        <w:tc>
          <w:tcPr>
            <w:tcW w:type="dxa" w:w="1560"/>
            <w:shd w:val="clear" w:color="auto" w:fill="E8EDF7"/>
          </w:tcPr>
          <w:p>
            <w:r>
              <w:rPr>
                <w:rFonts w:ascii="Times New Roman" w:hAnsi="Times New Roman"/>
                <w:sz w:val="17"/>
              </w:rPr>
              <w:t>Base — Current Trajectory</w:t>
            </w:r>
          </w:p>
        </w:tc>
        <w:tc>
          <w:tcPr>
            <w:tcW w:type="dxa" w:w="1560"/>
            <w:shd w:val="clear" w:color="auto" w:fill="E8EDF7"/>
          </w:tcPr>
          <w:p>
            <w:r>
              <w:rPr>
                <w:rFonts w:ascii="Times New Roman" w:hAnsi="Times New Roman"/>
                <w:sz w:val="17"/>
              </w:rPr>
              <w:t>$340M</w:t>
            </w:r>
          </w:p>
        </w:tc>
        <w:tc>
          <w:tcPr>
            <w:tcW w:type="dxa" w:w="1560"/>
            <w:shd w:val="clear" w:color="auto" w:fill="E8EDF7"/>
          </w:tcPr>
          <w:p>
            <w:r>
              <w:rPr>
                <w:rFonts w:ascii="Times New Roman" w:hAnsi="Times New Roman"/>
                <w:sz w:val="17"/>
              </w:rPr>
              <w:t>20x</w:t>
            </w:r>
          </w:p>
        </w:tc>
        <w:tc>
          <w:tcPr>
            <w:tcW w:type="dxa" w:w="1560"/>
            <w:shd w:val="clear" w:color="auto" w:fill="E8EDF7"/>
          </w:tcPr>
          <w:p>
            <w:r>
              <w:rPr>
                <w:rFonts w:ascii="Times New Roman" w:hAnsi="Times New Roman"/>
                <w:sz w:val="17"/>
              </w:rPr>
              <w:t>$6.8B</w:t>
            </w:r>
          </w:p>
        </w:tc>
        <w:tc>
          <w:tcPr>
            <w:tcW w:type="dxa" w:w="1560"/>
            <w:shd w:val="clear" w:color="auto" w:fill="E8EDF7"/>
          </w:tcPr>
          <w:p>
            <w:r>
              <w:rPr>
                <w:rFonts w:ascii="Times New Roman" w:hAnsi="Times New Roman"/>
                <w:sz w:val="17"/>
              </w:rPr>
              <w:t>$6.42/sh</w:t>
            </w:r>
          </w:p>
        </w:tc>
        <w:tc>
          <w:tcPr>
            <w:tcW w:type="dxa" w:w="1560"/>
            <w:shd w:val="clear" w:color="auto" w:fill="E8EDF7"/>
          </w:tcPr>
          <w:p>
            <w:r>
              <w:rPr>
                <w:rFonts w:ascii="Times New Roman" w:hAnsi="Times New Roman"/>
                <w:sz w:val="17"/>
              </w:rPr>
              <w:t>45%</w:t>
            </w:r>
          </w:p>
        </w:tc>
      </w:tr>
      <w:tr>
        <w:tc>
          <w:tcPr>
            <w:tcW w:type="dxa" w:w="1560"/>
          </w:tcPr>
          <w:p>
            <w:r>
              <w:rPr>
                <w:rFonts w:ascii="Times New Roman" w:hAnsi="Times New Roman"/>
                <w:sz w:val="17"/>
              </w:rPr>
              <w:t>Bear — Financing Dilution</w:t>
            </w:r>
          </w:p>
        </w:tc>
        <w:tc>
          <w:tcPr>
            <w:tcW w:type="dxa" w:w="1560"/>
          </w:tcPr>
          <w:p>
            <w:r>
              <w:rPr>
                <w:rFonts w:ascii="Times New Roman" w:hAnsi="Times New Roman"/>
                <w:sz w:val="17"/>
              </w:rPr>
              <w:t>$280M</w:t>
            </w:r>
          </w:p>
        </w:tc>
        <w:tc>
          <w:tcPr>
            <w:tcW w:type="dxa" w:w="1560"/>
          </w:tcPr>
          <w:p>
            <w:r>
              <w:rPr>
                <w:rFonts w:ascii="Times New Roman" w:hAnsi="Times New Roman"/>
                <w:sz w:val="17"/>
              </w:rPr>
              <w:t>12x</w:t>
            </w:r>
          </w:p>
        </w:tc>
        <w:tc>
          <w:tcPr>
            <w:tcW w:type="dxa" w:w="1560"/>
          </w:tcPr>
          <w:p>
            <w:r>
              <w:rPr>
                <w:rFonts w:ascii="Times New Roman" w:hAnsi="Times New Roman"/>
                <w:sz w:val="17"/>
              </w:rPr>
              <w:t>$3.4B</w:t>
            </w:r>
          </w:p>
        </w:tc>
        <w:tc>
          <w:tcPr>
            <w:tcW w:type="dxa" w:w="1560"/>
          </w:tcPr>
          <w:p>
            <w:r>
              <w:rPr>
                <w:rFonts w:ascii="Times New Roman" w:hAnsi="Times New Roman"/>
                <w:sz w:val="17"/>
              </w:rPr>
              <w:t>$3.21/sh</w:t>
            </w:r>
          </w:p>
        </w:tc>
        <w:tc>
          <w:tcPr>
            <w:tcW w:type="dxa" w:w="1560"/>
          </w:tcPr>
          <w:p>
            <w:r>
              <w:rPr>
                <w:rFonts w:ascii="Times New Roman" w:hAnsi="Times New Roman"/>
                <w:sz w:val="17"/>
              </w:rPr>
              <w:t>20%</w:t>
            </w:r>
          </w:p>
        </w:tc>
      </w:tr>
      <w:tr>
        <w:tc>
          <w:tcPr>
            <w:tcW w:type="dxa" w:w="1560"/>
            <w:shd w:val="clear" w:color="auto" w:fill="E8EDF7"/>
          </w:tcPr>
          <w:p>
            <w:r>
              <w:rPr>
                <w:rFonts w:ascii="Times New Roman" w:hAnsi="Times New Roman"/>
                <w:sz w:val="17"/>
              </w:rPr>
              <w:t>Probability-Weighted PT</w:t>
            </w:r>
          </w:p>
        </w:tc>
        <w:tc>
          <w:tcPr>
            <w:tcW w:type="dxa" w:w="1560"/>
            <w:shd w:val="clear" w:color="auto" w:fill="E8EDF7"/>
          </w:tcPr>
          <w:p>
            <w:r>
              <w:rPr>
                <w:rFonts w:ascii="Times New Roman" w:hAnsi="Times New Roman"/>
                <w:sz w:val="17"/>
              </w:rPr>
            </w:r>
          </w:p>
        </w:tc>
        <w:tc>
          <w:tcPr>
            <w:tcW w:type="dxa" w:w="1560"/>
            <w:shd w:val="clear" w:color="auto" w:fill="E8EDF7"/>
          </w:tcPr>
          <w:p>
            <w:r>
              <w:rPr>
                <w:rFonts w:ascii="Times New Roman" w:hAnsi="Times New Roman"/>
                <w:sz w:val="17"/>
              </w:rPr>
            </w:r>
          </w:p>
        </w:tc>
        <w:tc>
          <w:tcPr>
            <w:tcW w:type="dxa" w:w="1560"/>
            <w:shd w:val="clear" w:color="auto" w:fill="E8EDF7"/>
          </w:tcPr>
          <w:p>
            <w:r>
              <w:rPr>
                <w:rFonts w:ascii="Times New Roman" w:hAnsi="Times New Roman"/>
                <w:sz w:val="17"/>
              </w:rPr>
            </w:r>
          </w:p>
        </w:tc>
        <w:tc>
          <w:tcPr>
            <w:tcW w:type="dxa" w:w="1560"/>
            <w:shd w:val="clear" w:color="auto" w:fill="E8EDF7"/>
          </w:tcPr>
          <w:p>
            <w:r>
              <w:rPr>
                <w:rFonts w:ascii="Times New Roman" w:hAnsi="Times New Roman"/>
                <w:sz w:val="17"/>
              </w:rPr>
              <w:t>~$6.80/sh</w:t>
            </w:r>
          </w:p>
        </w:tc>
        <w:tc>
          <w:tcPr>
            <w:tcW w:type="dxa" w:w="1560"/>
            <w:shd w:val="clear" w:color="auto" w:fill="E8EDF7"/>
          </w:tcPr>
          <w:p>
            <w:r>
              <w:rPr>
                <w:rFonts w:ascii="Times New Roman" w:hAnsi="Times New Roman"/>
                <w:sz w:val="17"/>
              </w:rPr>
              <w:t>100%</w:t>
            </w:r>
          </w:p>
        </w:tc>
      </w:tr>
      <w:tr>
        <w:tc>
          <w:tcPr>
            <w:tcW w:type="dxa" w:w="1560"/>
          </w:tcPr>
          <w:p>
            <w:r>
              <w:rPr>
                <w:rFonts w:ascii="Times New Roman" w:hAnsi="Times New Roman"/>
                <w:sz w:val="17"/>
              </w:rPr>
              <w:t>Piper Sandler Target (post Q4)</w:t>
            </w:r>
          </w:p>
        </w:tc>
        <w:tc>
          <w:tcPr>
            <w:tcW w:type="dxa" w:w="1560"/>
          </w:tcPr>
          <w:p>
            <w:r>
              <w:rPr>
                <w:rFonts w:ascii="Times New Roman" w:hAnsi="Times New Roman"/>
                <w:sz w:val="17"/>
              </w:rPr>
            </w:r>
          </w:p>
        </w:tc>
        <w:tc>
          <w:tcPr>
            <w:tcW w:type="dxa" w:w="1560"/>
          </w:tcPr>
          <w:p>
            <w:r>
              <w:rPr>
                <w:rFonts w:ascii="Times New Roman" w:hAnsi="Times New Roman"/>
                <w:sz w:val="17"/>
              </w:rPr>
            </w:r>
          </w:p>
        </w:tc>
        <w:tc>
          <w:tcPr>
            <w:tcW w:type="dxa" w:w="1560"/>
          </w:tcPr>
          <w:p>
            <w:r>
              <w:rPr>
                <w:rFonts w:ascii="Times New Roman" w:hAnsi="Times New Roman"/>
                <w:sz w:val="17"/>
              </w:rPr>
            </w:r>
          </w:p>
        </w:tc>
        <w:tc>
          <w:tcPr>
            <w:tcW w:type="dxa" w:w="1560"/>
          </w:tcPr>
          <w:p>
            <w:r>
              <w:rPr>
                <w:rFonts w:ascii="Times New Roman" w:hAnsi="Times New Roman"/>
                <w:sz w:val="17"/>
              </w:rPr>
              <w:t>$12.00/sh</w:t>
            </w:r>
          </w:p>
        </w:tc>
        <w:tc>
          <w:tcPr>
            <w:tcW w:type="dxa" w:w="1560"/>
          </w:tcPr>
          <w:p>
            <w:r>
              <w:rPr>
                <w:rFonts w:ascii="Times New Roman" w:hAnsi="Times New Roman"/>
                <w:sz w:val="17"/>
              </w:rPr>
              <w:t>—</w:t>
            </w:r>
          </w:p>
        </w:tc>
      </w:tr>
      <w:tr>
        <w:tc>
          <w:tcPr>
            <w:tcW w:type="dxa" w:w="1560"/>
            <w:shd w:val="clear" w:color="auto" w:fill="E8EDF7"/>
          </w:tcPr>
          <w:p>
            <w:r>
              <w:rPr>
                <w:rFonts w:ascii="Times New Roman" w:hAnsi="Times New Roman"/>
                <w:sz w:val="17"/>
              </w:rPr>
              <w:t>H.C. Wainwright Target</w:t>
            </w:r>
          </w:p>
        </w:tc>
        <w:tc>
          <w:tcPr>
            <w:tcW w:type="dxa" w:w="1560"/>
            <w:shd w:val="clear" w:color="auto" w:fill="E8EDF7"/>
          </w:tcPr>
          <w:p>
            <w:r>
              <w:rPr>
                <w:rFonts w:ascii="Times New Roman" w:hAnsi="Times New Roman"/>
                <w:sz w:val="17"/>
              </w:rPr>
            </w:r>
          </w:p>
        </w:tc>
        <w:tc>
          <w:tcPr>
            <w:tcW w:type="dxa" w:w="1560"/>
            <w:shd w:val="clear" w:color="auto" w:fill="E8EDF7"/>
          </w:tcPr>
          <w:p>
            <w:r>
              <w:rPr>
                <w:rFonts w:ascii="Times New Roman" w:hAnsi="Times New Roman"/>
                <w:sz w:val="17"/>
              </w:rPr>
            </w:r>
          </w:p>
        </w:tc>
        <w:tc>
          <w:tcPr>
            <w:tcW w:type="dxa" w:w="1560"/>
            <w:shd w:val="clear" w:color="auto" w:fill="E8EDF7"/>
          </w:tcPr>
          <w:p>
            <w:r>
              <w:rPr>
                <w:rFonts w:ascii="Times New Roman" w:hAnsi="Times New Roman"/>
                <w:sz w:val="17"/>
              </w:rPr>
            </w:r>
          </w:p>
        </w:tc>
        <w:tc>
          <w:tcPr>
            <w:tcW w:type="dxa" w:w="1560"/>
            <w:shd w:val="clear" w:color="auto" w:fill="E8EDF7"/>
          </w:tcPr>
          <w:p>
            <w:r>
              <w:rPr>
                <w:rFonts w:ascii="Times New Roman" w:hAnsi="Times New Roman"/>
                <w:sz w:val="17"/>
              </w:rPr>
              <w:t>$15.00/sh</w:t>
            </w:r>
          </w:p>
        </w:tc>
        <w:tc>
          <w:tcPr>
            <w:tcW w:type="dxa" w:w="1560"/>
            <w:shd w:val="clear" w:color="auto" w:fill="E8EDF7"/>
          </w:tcPr>
          <w:p>
            <w:r>
              <w:rPr>
                <w:rFonts w:ascii="Times New Roman" w:hAnsi="Times New Roman"/>
                <w:sz w:val="17"/>
              </w:rPr>
              <w:t>—</w:t>
            </w:r>
          </w:p>
        </w:tc>
      </w:tr>
    </w:tbl>
    <w:p/>
    <w:p>
      <w:r>
        <w:br w:type="page"/>
      </w:r>
    </w:p>
    <w:p>
      <w:pPr>
        <w:spacing w:before="200" w:after="80"/>
      </w:pPr>
      <w:r>
        <w:rPr>
          <w:rFonts w:ascii="Times New Roman" w:hAnsi="Times New Roman"/>
          <w:b/>
          <w:color w:val="003087"/>
          <w:sz w:val="28"/>
        </w:rPr>
        <w:t>SOURCES</w:t>
      </w:r>
    </w:p>
    <w:p>
      <w:pPr>
        <w:spacing w:before="80" w:after="80"/>
        <w:pBdr>
          <w:bottom w:val="single" w:sz="4" w:space="1" w:color="003087"/>
        </w:pBdr>
      </w:pPr>
    </w:p>
    <w:p>
      <w:pPr>
        <w:spacing w:before="60" w:after="60"/>
        <w:ind w:left="432"/>
      </w:pPr>
      <w:r>
        <w:rPr>
          <w:sz w:val="18"/>
        </w:rPr>
        <w:t xml:space="preserve">1. </w:t>
      </w:r>
      <w:hyperlink r:id="rId19">
        <w:r>
          <w:rPr>
            <w:rStyle w:val="Hyperlink"/>
            <w:color w:val="0563C1"/>
            <w:u w:val="single"/>
          </w:rPr>
          <w:t>ImmunityBio Q4 &amp; FY2025 Earnings Press Release (BusinessWire, March 3, 2026)</w:t>
        </w:r>
      </w:hyperlink>
    </w:p>
    <w:p>
      <w:pPr>
        <w:spacing w:before="60" w:after="60"/>
        <w:ind w:left="432"/>
      </w:pPr>
      <w:r>
        <w:rPr>
          <w:sz w:val="18"/>
        </w:rPr>
        <w:t xml:space="preserve">2. </w:t>
      </w:r>
      <w:hyperlink r:id="rId20">
        <w:r>
          <w:rPr>
            <w:rStyle w:val="Hyperlink"/>
            <w:color w:val="0563C1"/>
            <w:u w:val="single"/>
          </w:rPr>
          <w:t>ImmunityBio Preliminary Revenue Announcement: $113M FY2025 (BusinessWire, January 2026)</w:t>
        </w:r>
      </w:hyperlink>
    </w:p>
    <w:p>
      <w:pPr>
        <w:spacing w:before="60" w:after="60"/>
        <w:ind w:left="432"/>
      </w:pPr>
      <w:r>
        <w:rPr>
          <w:sz w:val="18"/>
        </w:rPr>
        <w:t xml:space="preserve">3. </w:t>
      </w:r>
      <w:hyperlink r:id="rId21">
        <w:r>
          <w:rPr>
            <w:rStyle w:val="Hyperlink"/>
            <w:color w:val="0563C1"/>
            <w:u w:val="single"/>
          </w:rPr>
          <w:t>ImmunityBio Q4 2025 Earnings Call Transcript (Seeking Alpha, March 3, 2026)</w:t>
        </w:r>
      </w:hyperlink>
    </w:p>
    <w:p>
      <w:pPr>
        <w:spacing w:before="60" w:after="60"/>
        <w:ind w:left="432"/>
      </w:pPr>
      <w:r>
        <w:rPr>
          <w:sz w:val="18"/>
        </w:rPr>
        <w:t xml:space="preserve">4. </w:t>
      </w:r>
      <w:hyperlink r:id="rId22">
        <w:r>
          <w:rPr>
            <w:rStyle w:val="Hyperlink"/>
            <w:color w:val="0563C1"/>
            <w:u w:val="single"/>
          </w:rPr>
          <w:t>Piper Sandler: Price Target Raised to $12.00 (Investing.com, March 4, 2026)</w:t>
        </w:r>
      </w:hyperlink>
    </w:p>
    <w:p>
      <w:pPr>
        <w:spacing w:before="60" w:after="60"/>
        <w:ind w:left="432"/>
      </w:pPr>
      <w:r>
        <w:rPr>
          <w:sz w:val="18"/>
        </w:rPr>
        <w:t xml:space="preserve">5. </w:t>
      </w:r>
      <w:hyperlink r:id="rId23">
        <w:r>
          <w:rPr>
            <w:rStyle w:val="Hyperlink"/>
            <w:color w:val="0563C1"/>
            <w:u w:val="single"/>
          </w:rPr>
          <w:t>H.C. Wainwright: Price Target Raised to $15.00 (Yahoo Finance, February 2026)</w:t>
        </w:r>
      </w:hyperlink>
    </w:p>
    <w:p>
      <w:pPr>
        <w:spacing w:before="60" w:after="60"/>
        <w:ind w:left="432"/>
      </w:pPr>
      <w:r>
        <w:rPr>
          <w:sz w:val="18"/>
        </w:rPr>
        <w:t xml:space="preserve">6. </w:t>
      </w:r>
      <w:hyperlink r:id="rId24">
        <w:r>
          <w:rPr>
            <w:rStyle w:val="Hyperlink"/>
            <w:color w:val="0563C1"/>
            <w:u w:val="single"/>
          </w:rPr>
          <w:t>ImmunityBio Investor Relations — Official News Releases</w:t>
        </w:r>
      </w:hyperlink>
    </w:p>
    <w:p>
      <w:pPr>
        <w:spacing w:before="60" w:after="60"/>
        <w:ind w:left="432"/>
      </w:pPr>
      <w:r>
        <w:rPr>
          <w:sz w:val="18"/>
        </w:rPr>
        <w:t xml:space="preserve">7. </w:t>
      </w:r>
      <w:hyperlink r:id="rId25">
        <w:r>
          <w:rPr>
            <w:rStyle w:val="Hyperlink"/>
            <w:color w:val="0563C1"/>
            <w:u w:val="single"/>
          </w:rPr>
          <w:t>IBRX Q4 Earnings: EPS Beats, Stock Reaction (Investing.com Transcript)</w:t>
        </w:r>
      </w:hyperlink>
    </w:p>
    <w:p>
      <w:pPr>
        <w:spacing w:before="60" w:after="60"/>
        <w:ind w:left="432"/>
      </w:pPr>
      <w:r>
        <w:rPr>
          <w:sz w:val="18"/>
        </w:rPr>
        <w:t xml:space="preserve">8. </w:t>
      </w:r>
      <w:hyperlink r:id="rId26">
        <w:r>
          <w:rPr>
            <w:rStyle w:val="Hyperlink"/>
            <w:color w:val="0563C1"/>
            <w:u w:val="single"/>
          </w:rPr>
          <w:t>ImmunityBio Revenue Ramp Analysis (Simply Wall St, March 2026)</w:t>
        </w:r>
      </w:hyperlink>
    </w:p>
    <w:p/>
    <w:p>
      <w:pPr>
        <w:spacing w:before="40" w:after="40"/>
      </w:pPr>
      <w:r>
        <w:rPr>
          <w:rFonts w:ascii="Times New Roman" w:hAnsi="Times New Roman"/>
          <w:b w:val="0"/>
          <w:color w:val="5E6A71"/>
          <w:sz w:val="16"/>
        </w:rPr>
        <w:t>Disclosures: This report is for informational purposes only and does not constitute investment advice. All estimates are from public analyst research (Piper Sandler, H.C. Wainwright) or derived from public filings. The author may have positions in IBRX. See full disclosures at your institution's compliance portal.</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hyperlink" Target="https://www.businesswire.com/news/home/20260223889360/en/ImmunityBio-Reports-700-Year-Over-Year-Revenue-Growth-Expanded-ANKTIVA-Approvals-in-Lung-Cancer-and-Global-Commercial-Partnerships-in-33-Countries-with-Label-Expansion-plans-Globally" TargetMode="External"/><Relationship Id="rId20" Type="http://schemas.openxmlformats.org/officeDocument/2006/relationships/hyperlink" Target="https://www.businesswire.com/news/home/20260115898106/en/ImmunityBio-Reports-Continued-Execution-and-Sales-Momentum-With-%24113-Million-of-Preliminary-Net-Product-Revenuea-700-increase-year-over-year" TargetMode="External"/><Relationship Id="rId21" Type="http://schemas.openxmlformats.org/officeDocument/2006/relationships/hyperlink" Target="https://seekingalpha.com/article/4878073-immunitybio-inc-ibrx-q4-2025-earnings-call-transcript" TargetMode="External"/><Relationship Id="rId22" Type="http://schemas.openxmlformats.org/officeDocument/2006/relationships/hyperlink" Target="https://www.investing.com/news/analyst-ratings/piper-sandler-raises-immunitybio-stock-price-target-on-revenue-growth-93CH-4541199" TargetMode="External"/><Relationship Id="rId23" Type="http://schemas.openxmlformats.org/officeDocument/2006/relationships/hyperlink" Target="https://finance.yahoo.com/news/h-c-wainwright-raised-price-152044056.html" TargetMode="External"/><Relationship Id="rId24" Type="http://schemas.openxmlformats.org/officeDocument/2006/relationships/hyperlink" Target="https://ir.immunitybio.com/news-releases/news-release-details/immunitybio-reports-700-year-over-year-revenue-growth-expanded" TargetMode="External"/><Relationship Id="rId25" Type="http://schemas.openxmlformats.org/officeDocument/2006/relationships/hyperlink" Target="https://www.investing.com/news/transcripts/earnings-call-transcript-immunitybios-q4-2025-eps-beats-forecast-stock-surges-93CH-4539507" TargetMode="External"/><Relationship Id="rId26" Type="http://schemas.openxmlformats.org/officeDocument/2006/relationships/hyperlink" Target="https://simplywall.st/stocks/us/pharmaceuticals-biotech/nasdaq-ibrx/immunitybio/news/immunitybio-ibrx-revenue-ramp-to-us38-million-tests-profita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