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黑体"/>
          <w:b/>
          <w:color w:val="8C8C8C"/>
          <w:sz w:val="17"/>
        </w:rPr>
        <w:t>股票研究  |  航空航天与国防</w:t>
      </w:r>
    </w:p>
    <w:p>
      <w:pPr>
        <w:jc w:val="center"/>
      </w:pPr>
      <w:r>
        <w:rPr>
          <w:rFonts w:eastAsia="黑体"/>
          <w:b/>
          <w:color w:val="1B3A6B"/>
          <w:sz w:val="40"/>
        </w:rPr>
        <w:t>火箭实验室 (NASDAQ: RKLB)</w:t>
      </w:r>
    </w:p>
    <w:p>
      <w:pPr>
        <w:jc w:val="center"/>
      </w:pPr>
      <w:r>
        <w:rPr>
          <w:rFonts w:eastAsia="黑体"/>
          <w:i/>
          <w:color w:val="4A90D9"/>
          <w:sz w:val="28"/>
        </w:rPr>
        <w:t>2025年第四季度及全年业绩更新</w:t>
      </w:r>
    </w:p>
    <w:p>
      <w:pPr>
        <w:jc w:val="center"/>
      </w:pPr>
      <w:r>
        <w:rPr>
          <w:rFonts w:eastAsia="宋体"/>
          <w:color w:val="8C8C8C"/>
          <w:sz w:val="18"/>
        </w:rPr>
        <w:t>2026年2月26日  |  业绩发布日</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3A6B" w:val="clear"/>
          </w:tcPr>
          <w:p>
            <w:r>
              <w:rPr>
                <w:b/>
                <w:color w:val="FFFFFF"/>
                <w:sz w:val="18"/>
              </w:rPr>
              <w:t>评级</w:t>
            </w:r>
          </w:p>
        </w:tc>
        <w:tc>
          <w:tcPr>
            <w:tcW w:type="dxa" w:w="1568"/>
            <w:shd w:fill="1B3A6B" w:val="clear"/>
          </w:tcPr>
          <w:p>
            <w:r>
              <w:rPr>
                <w:b/>
                <w:color w:val="FFFFFF"/>
                <w:sz w:val="18"/>
              </w:rPr>
              <w:t>目标价</w:t>
            </w:r>
          </w:p>
        </w:tc>
        <w:tc>
          <w:tcPr>
            <w:tcW w:type="dxa" w:w="1568"/>
            <w:shd w:fill="1B3A6B" w:val="clear"/>
          </w:tcPr>
          <w:p>
            <w:r>
              <w:rPr>
                <w:b/>
                <w:color w:val="FFFFFF"/>
                <w:sz w:val="18"/>
              </w:rPr>
              <w:t>当前股价</w:t>
            </w:r>
          </w:p>
        </w:tc>
        <w:tc>
          <w:tcPr>
            <w:tcW w:type="dxa" w:w="1568"/>
            <w:shd w:fill="1B3A6B" w:val="clear"/>
          </w:tcPr>
          <w:p>
            <w:r>
              <w:rPr>
                <w:b/>
                <w:color w:val="FFFFFF"/>
                <w:sz w:val="18"/>
              </w:rPr>
              <w:t>市值</w:t>
            </w:r>
          </w:p>
        </w:tc>
        <w:tc>
          <w:tcPr>
            <w:tcW w:type="dxa" w:w="1568"/>
            <w:shd w:fill="1B3A6B" w:val="clear"/>
          </w:tcPr>
          <w:p>
            <w:r>
              <w:rPr>
                <w:b/>
                <w:color w:val="FFFFFF"/>
                <w:sz w:val="18"/>
              </w:rPr>
              <w:t>52周低点</w:t>
            </w:r>
          </w:p>
        </w:tc>
        <w:tc>
          <w:tcPr>
            <w:tcW w:type="dxa" w:w="1568"/>
            <w:shd w:fill="1B3A6B" w:val="clear"/>
          </w:tcPr>
          <w:p>
            <w:r>
              <w:rPr>
                <w:b/>
                <w:color w:val="FFFFFF"/>
                <w:sz w:val="18"/>
              </w:rPr>
              <w:t>52周高点</w:t>
            </w:r>
          </w:p>
        </w:tc>
      </w:tr>
      <w:tr>
        <w:tc>
          <w:tcPr>
            <w:tcW w:type="dxa" w:w="1568"/>
            <w:shd w:fill="27AE60" w:val="clear"/>
          </w:tcPr>
          <w:p>
            <w:pPr>
              <w:jc w:val="center"/>
            </w:pPr>
            <w:r>
              <w:rPr>
                <w:b/>
                <w:color w:val="FFFFFF"/>
                <w:sz w:val="22"/>
              </w:rPr>
              <w:t>买入</w:t>
            </w:r>
          </w:p>
        </w:tc>
        <w:tc>
          <w:tcPr>
            <w:tcW w:type="dxa" w:w="1568"/>
          </w:tcPr>
          <w:p>
            <w:pPr>
              <w:jc w:val="center"/>
            </w:pPr>
            <w:r>
              <w:rPr>
                <w:b/>
                <w:sz w:val="20"/>
              </w:rPr>
              <w:t>$35.00</w:t>
            </w:r>
          </w:p>
        </w:tc>
        <w:tc>
          <w:tcPr>
            <w:tcW w:type="dxa" w:w="1568"/>
          </w:tcPr>
          <w:p>
            <w:pPr>
              <w:jc w:val="center"/>
            </w:pPr>
            <w:r>
              <w:rPr>
                <w:b w:val="0"/>
                <w:sz w:val="20"/>
              </w:rPr>
              <w:t>$70.03</w:t>
            </w:r>
          </w:p>
        </w:tc>
        <w:tc>
          <w:tcPr>
            <w:tcW w:type="dxa" w:w="1568"/>
          </w:tcPr>
          <w:p>
            <w:pPr>
              <w:jc w:val="center"/>
            </w:pPr>
            <w:r>
              <w:rPr>
                <w:b w:val="0"/>
                <w:sz w:val="20"/>
              </w:rPr>
              <w:t>约397亿美元</w:t>
            </w:r>
          </w:p>
        </w:tc>
        <w:tc>
          <w:tcPr>
            <w:tcW w:type="dxa" w:w="1568"/>
          </w:tcPr>
          <w:p>
            <w:pPr>
              <w:jc w:val="center"/>
            </w:pPr>
            <w:r>
              <w:rPr>
                <w:b w:val="0"/>
                <w:sz w:val="20"/>
              </w:rPr>
              <w:t>$14.71</w:t>
            </w:r>
          </w:p>
        </w:tc>
        <w:tc>
          <w:tcPr>
            <w:tcW w:type="dxa" w:w="1568"/>
          </w:tcPr>
          <w:p>
            <w:pPr>
              <w:jc w:val="center"/>
            </w:pPr>
            <w:r>
              <w:rPr>
                <w:b w:val="0"/>
                <w:sz w:val="20"/>
              </w:rPr>
              <w:t>$99.58</w:t>
            </w:r>
          </w:p>
        </w:tc>
      </w:tr>
    </w:tbl>
    <w:p/>
    <w:p>
      <w:pPr>
        <w:spacing w:before="280" w:after="80"/>
        <w:jc w:val="left"/>
        <w:pBdr>
          <w:bottom w:val="single" w:sz="6" w:space="4" w:color="1B3A6B"/>
        </w:pBdr>
      </w:pPr>
      <w:r>
        <w:rPr>
          <w:rFonts w:eastAsia="黑体"/>
          <w:b/>
          <w:color w:val="1B3A6B"/>
          <w:sz w:val="24"/>
        </w:rPr>
        <w:t>核心要点</w:t>
      </w:r>
    </w:p>
    <w:p>
      <w:pPr>
        <w:pStyle w:val="ListBullet"/>
        <w:spacing w:after="60"/>
        <w:ind w:left="360"/>
      </w:pPr>
      <w:r>
        <w:rPr>
          <w:rFonts w:eastAsia="黑体"/>
          <w:b/>
          <w:color w:val="27AE60"/>
          <w:sz w:val="20"/>
        </w:rPr>
        <w:t xml:space="preserve">✔ 营收超预期： </w:t>
      </w:r>
      <w:r>
        <w:rPr>
          <w:rFonts w:eastAsia="宋体"/>
          <w:sz w:val="20"/>
        </w:rPr>
        <w:t>第四季度营收创历史新高，达1.797亿美元，同比增长36%、环比增长16%，超出市场预期约1.77亿美元约1.6%。</w:t>
      </w:r>
    </w:p>
    <w:p>
      <w:pPr>
        <w:pStyle w:val="ListBullet"/>
        <w:spacing w:after="60"/>
        <w:ind w:left="360"/>
      </w:pPr>
      <w:r>
        <w:rPr>
          <w:rFonts w:eastAsia="黑体"/>
          <w:b/>
          <w:color w:val="4A90D9"/>
          <w:sz w:val="20"/>
        </w:rPr>
        <w:t xml:space="preserve">✔ EPS符合预期： </w:t>
      </w:r>
      <w:r>
        <w:rPr>
          <w:rFonts w:eastAsia="宋体"/>
          <w:sz w:val="20"/>
        </w:rPr>
        <w:t>GAAP每股亏损0.09美元，与市场预期（亏损0.09–0.10美元）基本持平，反映良好的成本管控。</w:t>
      </w:r>
    </w:p>
    <w:p>
      <w:pPr>
        <w:pStyle w:val="ListBullet"/>
        <w:spacing w:after="60"/>
        <w:ind w:left="360"/>
      </w:pPr>
      <w:r>
        <w:rPr>
          <w:rFonts w:eastAsia="黑体"/>
          <w:b/>
          <w:color w:val="27AE60"/>
          <w:sz w:val="20"/>
        </w:rPr>
        <w:t xml:space="preserve">✔ EBITDA超预期： </w:t>
      </w:r>
      <w:r>
        <w:rPr>
          <w:rFonts w:eastAsia="宋体"/>
          <w:sz w:val="20"/>
        </w:rPr>
        <w:t>调整后EBITDA亏损1,740万美元，显著优于公司指引区间（亏损2,300–2,900万美元）。</w:t>
      </w:r>
    </w:p>
    <w:p>
      <w:pPr>
        <w:pStyle w:val="ListBullet"/>
        <w:spacing w:after="60"/>
        <w:ind w:left="360"/>
      </w:pPr>
      <w:r>
        <w:rPr>
          <w:rFonts w:eastAsia="黑体"/>
          <w:b/>
          <w:color w:val="27AE60"/>
          <w:sz w:val="20"/>
        </w:rPr>
        <w:t xml:space="preserve">✔ 毛利率扩张： </w:t>
      </w:r>
      <w:r>
        <w:rPr>
          <w:rFonts w:eastAsia="宋体"/>
          <w:sz w:val="20"/>
        </w:rPr>
        <w:t>GAAP毛利率创历史新高达38%，非GAAP毛利率达44%，分别环比提升100个和240个基点。</w:t>
      </w:r>
    </w:p>
    <w:p>
      <w:pPr>
        <w:pStyle w:val="ListBullet"/>
        <w:spacing w:after="60"/>
        <w:ind w:left="360"/>
      </w:pPr>
      <w:r>
        <w:rPr>
          <w:rFonts w:eastAsia="黑体"/>
          <w:b/>
          <w:color w:val="1B3A6B"/>
          <w:sz w:val="20"/>
        </w:rPr>
        <w:t xml:space="preserve">✔ 订单历史新高： </w:t>
      </w:r>
      <w:r>
        <w:rPr>
          <w:rFonts w:eastAsia="宋体"/>
          <w:sz w:val="20"/>
        </w:rPr>
        <w:t>在手订单同比增长73%至历史新高18.5亿美元，核心来自美国太空发展局（SDA）8.16亿美元卫星主合同。</w:t>
      </w:r>
    </w:p>
    <w:p>
      <w:pPr>
        <w:pStyle w:val="ListBullet"/>
        <w:spacing w:after="60"/>
        <w:ind w:left="360"/>
      </w:pPr>
      <w:r>
        <w:rPr>
          <w:rFonts w:eastAsia="黑体"/>
          <w:b/>
          <w:color w:val="1B3A6B"/>
          <w:sz w:val="20"/>
        </w:rPr>
        <w:t xml:space="preserve">✔ 全年发射纪录： </w:t>
      </w:r>
      <w:r>
        <w:rPr>
          <w:rFonts w:eastAsia="宋体"/>
          <w:sz w:val="20"/>
        </w:rPr>
        <w:t>2025年共完成21次Electron火箭发射（2024年为16次），第四季度发射7次（含1次HASTE高超音速任务）创季度纪录，全年任务成功率100%。</w:t>
      </w:r>
    </w:p>
    <w:p>
      <w:pPr>
        <w:pStyle w:val="ListBullet"/>
        <w:spacing w:after="60"/>
        <w:ind w:left="360"/>
      </w:pPr>
      <w:r>
        <w:rPr>
          <w:rFonts w:eastAsia="黑体"/>
          <w:b/>
          <w:color w:val="C0392B"/>
          <w:sz w:val="20"/>
        </w:rPr>
        <w:t xml:space="preserve">⚠ Neutron延期： </w:t>
      </w:r>
      <w:r>
        <w:rPr>
          <w:rFonts w:eastAsia="宋体"/>
          <w:sz w:val="20"/>
        </w:rPr>
        <w:t>Neutron火箭一级箱体在水压测试中破裂，首飞时间推迟至2026年第四季度。</w:t>
      </w:r>
    </w:p>
    <w:p/>
    <w:p>
      <w:pPr>
        <w:spacing w:before="280" w:after="80"/>
        <w:jc w:val="left"/>
        <w:pBdr>
          <w:bottom w:val="single" w:sz="6" w:space="4" w:color="1B3A6B"/>
        </w:pBdr>
      </w:pPr>
      <w:r>
        <w:rPr>
          <w:rFonts w:eastAsia="黑体"/>
          <w:b/>
          <w:color w:val="1B3A6B"/>
          <w:sz w:val="24"/>
        </w:rPr>
        <w:t>业绩快照</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1B3A6B" w:val="clear"/>
          </w:tcPr>
          <w:p>
            <w:pPr>
              <w:jc w:val="left"/>
            </w:pPr>
            <w:r>
              <w:rPr>
                <w:b/>
                <w:color w:val="FFFFFF"/>
                <w:sz w:val="18"/>
              </w:rPr>
              <w:t>指标</w:t>
            </w:r>
          </w:p>
        </w:tc>
        <w:tc>
          <w:tcPr>
            <w:tcW w:type="dxa" w:w="1881"/>
            <w:vAlign w:val="center"/>
            <w:shd w:fill="1B3A6B" w:val="clear"/>
          </w:tcPr>
          <w:p>
            <w:pPr>
              <w:jc w:val="center"/>
            </w:pPr>
            <w:r>
              <w:rPr>
                <w:b/>
                <w:color w:val="FFFFFF"/>
                <w:sz w:val="18"/>
              </w:rPr>
              <w:t>Q4 2025实际值</w:t>
            </w:r>
          </w:p>
        </w:tc>
        <w:tc>
          <w:tcPr>
            <w:tcW w:type="dxa" w:w="1881"/>
            <w:vAlign w:val="center"/>
            <w:shd w:fill="1B3A6B" w:val="clear"/>
          </w:tcPr>
          <w:p>
            <w:pPr>
              <w:jc w:val="center"/>
            </w:pPr>
            <w:r>
              <w:rPr>
                <w:b/>
                <w:color w:val="FFFFFF"/>
                <w:sz w:val="18"/>
              </w:rPr>
              <w:t>市场预期/公司指引</w:t>
            </w:r>
          </w:p>
        </w:tc>
        <w:tc>
          <w:tcPr>
            <w:tcW w:type="dxa" w:w="1881"/>
            <w:vAlign w:val="center"/>
            <w:shd w:fill="1B3A6B" w:val="clear"/>
          </w:tcPr>
          <w:p>
            <w:pPr>
              <w:jc w:val="center"/>
            </w:pPr>
            <w:r>
              <w:rPr>
                <w:b/>
                <w:color w:val="FFFFFF"/>
                <w:sz w:val="18"/>
              </w:rPr>
              <w:t>超预期情况</w:t>
            </w:r>
          </w:p>
        </w:tc>
        <w:tc>
          <w:tcPr>
            <w:tcW w:type="dxa" w:w="1881"/>
            <w:vAlign w:val="center"/>
            <w:shd w:fill="1B3A6B" w:val="clear"/>
          </w:tcPr>
          <w:p>
            <w:pPr>
              <w:jc w:val="center"/>
            </w:pPr>
            <w:r>
              <w:rPr>
                <w:b/>
                <w:color w:val="FFFFFF"/>
                <w:sz w:val="18"/>
              </w:rPr>
              <w:t>环比变动</w:t>
            </w:r>
          </w:p>
        </w:tc>
      </w:tr>
      <w:tr>
        <w:tc>
          <w:tcPr>
            <w:tcW w:type="dxa" w:w="1881"/>
            <w:vAlign w:val="center"/>
          </w:tcPr>
          <w:p>
            <w:pPr>
              <w:jc w:val="left"/>
            </w:pPr>
            <w:r>
              <w:t>营收</w:t>
            </w:r>
          </w:p>
        </w:tc>
        <w:tc>
          <w:tcPr>
            <w:tcW w:type="dxa" w:w="1881"/>
            <w:vAlign w:val="center"/>
          </w:tcPr>
          <w:p>
            <w:pPr>
              <w:jc w:val="center"/>
            </w:pPr>
            <w:r>
              <w:t>1.797亿美元</w:t>
            </w:r>
          </w:p>
        </w:tc>
        <w:tc>
          <w:tcPr>
            <w:tcW w:type="dxa" w:w="1881"/>
            <w:vAlign w:val="center"/>
          </w:tcPr>
          <w:p>
            <w:pPr>
              <w:jc w:val="center"/>
            </w:pPr>
            <w:r>
              <w:t>约1.77亿美元</w:t>
            </w:r>
          </w:p>
        </w:tc>
        <w:tc>
          <w:tcPr>
            <w:tcW w:type="dxa" w:w="1881"/>
            <w:vAlign w:val="center"/>
          </w:tcPr>
          <w:p>
            <w:pPr>
              <w:jc w:val="center"/>
            </w:pPr>
            <w:r>
              <w:rPr>
                <w:b/>
                <w:color w:val="27AE60"/>
                <w:sz w:val="18"/>
              </w:rPr>
              <w:t>✔ +1.6%</w:t>
            </w:r>
          </w:p>
        </w:tc>
        <w:tc>
          <w:tcPr>
            <w:tcW w:type="dxa" w:w="1881"/>
            <w:vAlign w:val="center"/>
          </w:tcPr>
          <w:p>
            <w:pPr>
              <w:jc w:val="center"/>
            </w:pPr>
            <w:r>
              <w:t>+16% 环比</w:t>
            </w:r>
          </w:p>
        </w:tc>
      </w:tr>
      <w:tr>
        <w:tc>
          <w:tcPr>
            <w:tcW w:type="dxa" w:w="1881"/>
            <w:vAlign w:val="center"/>
            <w:shd w:fill="EBF5FB" w:val="clear"/>
          </w:tcPr>
          <w:p>
            <w:pPr>
              <w:jc w:val="left"/>
            </w:pPr>
            <w:r>
              <w:t>发射服务营收</w:t>
            </w:r>
          </w:p>
        </w:tc>
        <w:tc>
          <w:tcPr>
            <w:tcW w:type="dxa" w:w="1881"/>
            <w:vAlign w:val="center"/>
            <w:shd w:fill="EBF5FB" w:val="clear"/>
          </w:tcPr>
          <w:p>
            <w:pPr>
              <w:jc w:val="center"/>
            </w:pPr>
            <w:r>
              <w:t>7,590万美元</w:t>
            </w:r>
          </w:p>
        </w:tc>
        <w:tc>
          <w:tcPr>
            <w:tcW w:type="dxa" w:w="1881"/>
            <w:vAlign w:val="center"/>
            <w:shd w:fill="EBF5FB" w:val="clear"/>
          </w:tcPr>
          <w:p>
            <w:pPr>
              <w:jc w:val="center"/>
            </w:pPr>
            <w:r>
              <w:t>—</w:t>
            </w:r>
          </w:p>
        </w:tc>
        <w:tc>
          <w:tcPr>
            <w:tcW w:type="dxa" w:w="1881"/>
            <w:vAlign w:val="center"/>
            <w:shd w:fill="EBF5FB" w:val="clear"/>
          </w:tcPr>
          <w:p>
            <w:pPr>
              <w:jc w:val="center"/>
            </w:pPr>
            <w:r>
              <w:t>—</w:t>
            </w:r>
          </w:p>
        </w:tc>
        <w:tc>
          <w:tcPr>
            <w:tcW w:type="dxa" w:w="1881"/>
            <w:vAlign w:val="center"/>
            <w:shd w:fill="EBF5FB" w:val="clear"/>
          </w:tcPr>
          <w:p>
            <w:pPr>
              <w:jc w:val="center"/>
            </w:pPr>
            <w:r>
              <w:t>+85% 环比</w:t>
            </w:r>
          </w:p>
        </w:tc>
      </w:tr>
      <w:tr>
        <w:tc>
          <w:tcPr>
            <w:tcW w:type="dxa" w:w="1881"/>
            <w:vAlign w:val="center"/>
          </w:tcPr>
          <w:p>
            <w:pPr>
              <w:jc w:val="left"/>
            </w:pPr>
            <w:r>
              <w:t>航天系统营收</w:t>
            </w:r>
          </w:p>
        </w:tc>
        <w:tc>
          <w:tcPr>
            <w:tcW w:type="dxa" w:w="1881"/>
            <w:vAlign w:val="center"/>
          </w:tcPr>
          <w:p>
            <w:pPr>
              <w:jc w:val="center"/>
            </w:pPr>
            <w:r>
              <w:t>1.038亿美元</w:t>
            </w:r>
          </w:p>
        </w:tc>
        <w:tc>
          <w:tcPr>
            <w:tcW w:type="dxa" w:w="1881"/>
            <w:vAlign w:val="center"/>
          </w:tcPr>
          <w:p>
            <w:pPr>
              <w:jc w:val="center"/>
            </w:pPr>
            <w:r>
              <w:t>—</w:t>
            </w:r>
          </w:p>
        </w:tc>
        <w:tc>
          <w:tcPr>
            <w:tcW w:type="dxa" w:w="1881"/>
            <w:vAlign w:val="center"/>
          </w:tcPr>
          <w:p>
            <w:pPr>
              <w:jc w:val="center"/>
            </w:pPr>
            <w:r>
              <w:t>—</w:t>
            </w:r>
          </w:p>
        </w:tc>
        <w:tc>
          <w:tcPr>
            <w:tcW w:type="dxa" w:w="1881"/>
            <w:vAlign w:val="center"/>
          </w:tcPr>
          <w:p>
            <w:pPr>
              <w:jc w:val="center"/>
            </w:pPr>
            <w:r>
              <w:t>-9% 环比</w:t>
            </w:r>
          </w:p>
        </w:tc>
      </w:tr>
      <w:tr>
        <w:tc>
          <w:tcPr>
            <w:tcW w:type="dxa" w:w="1881"/>
            <w:vAlign w:val="center"/>
            <w:shd w:fill="EBF5FB" w:val="clear"/>
          </w:tcPr>
          <w:p>
            <w:pPr>
              <w:jc w:val="left"/>
            </w:pPr>
            <w:r>
              <w:t>GAAP毛利率</w:t>
            </w:r>
          </w:p>
        </w:tc>
        <w:tc>
          <w:tcPr>
            <w:tcW w:type="dxa" w:w="1881"/>
            <w:vAlign w:val="center"/>
            <w:shd w:fill="EBF5FB" w:val="clear"/>
          </w:tcPr>
          <w:p>
            <w:pPr>
              <w:jc w:val="center"/>
            </w:pPr>
            <w:r>
              <w:t>38.0%</w:t>
            </w:r>
          </w:p>
        </w:tc>
        <w:tc>
          <w:tcPr>
            <w:tcW w:type="dxa" w:w="1881"/>
            <w:vAlign w:val="center"/>
            <w:shd w:fill="EBF5FB" w:val="clear"/>
          </w:tcPr>
          <w:p>
            <w:pPr>
              <w:jc w:val="center"/>
            </w:pPr>
            <w:r>
              <w:t>约35–37%</w:t>
            </w:r>
          </w:p>
        </w:tc>
        <w:tc>
          <w:tcPr>
            <w:tcW w:type="dxa" w:w="1881"/>
            <w:vAlign w:val="center"/>
            <w:shd w:fill="EBF5FB" w:val="clear"/>
          </w:tcPr>
          <w:p>
            <w:pPr>
              <w:jc w:val="center"/>
            </w:pPr>
            <w:r>
              <w:rPr>
                <w:b/>
                <w:color w:val="27AE60"/>
                <w:sz w:val="18"/>
              </w:rPr>
              <w:t>✔ +100–300基点</w:t>
            </w:r>
          </w:p>
        </w:tc>
        <w:tc>
          <w:tcPr>
            <w:tcW w:type="dxa" w:w="1881"/>
            <w:vAlign w:val="center"/>
            <w:shd w:fill="EBF5FB" w:val="clear"/>
          </w:tcPr>
          <w:p>
            <w:pPr>
              <w:jc w:val="center"/>
            </w:pPr>
            <w:r>
              <w:t>+100基点</w:t>
            </w:r>
          </w:p>
        </w:tc>
      </w:tr>
      <w:tr>
        <w:tc>
          <w:tcPr>
            <w:tcW w:type="dxa" w:w="1881"/>
            <w:vAlign w:val="center"/>
          </w:tcPr>
          <w:p>
            <w:pPr>
              <w:jc w:val="left"/>
            </w:pPr>
            <w:r>
              <w:t>非GAAP毛利率</w:t>
            </w:r>
          </w:p>
        </w:tc>
        <w:tc>
          <w:tcPr>
            <w:tcW w:type="dxa" w:w="1881"/>
            <w:vAlign w:val="center"/>
          </w:tcPr>
          <w:p>
            <w:pPr>
              <w:jc w:val="center"/>
            </w:pPr>
            <w:r>
              <w:t>44.0%</w:t>
            </w:r>
          </w:p>
        </w:tc>
        <w:tc>
          <w:tcPr>
            <w:tcW w:type="dxa" w:w="1881"/>
            <w:vAlign w:val="center"/>
          </w:tcPr>
          <w:p>
            <w:pPr>
              <w:jc w:val="center"/>
            </w:pPr>
            <w:r>
              <w:t>—</w:t>
            </w:r>
          </w:p>
        </w:tc>
        <w:tc>
          <w:tcPr>
            <w:tcW w:type="dxa" w:w="1881"/>
            <w:vAlign w:val="center"/>
          </w:tcPr>
          <w:p>
            <w:pPr>
              <w:jc w:val="center"/>
            </w:pPr>
            <w:r>
              <w:t>—</w:t>
            </w:r>
          </w:p>
        </w:tc>
        <w:tc>
          <w:tcPr>
            <w:tcW w:type="dxa" w:w="1881"/>
            <w:vAlign w:val="center"/>
          </w:tcPr>
          <w:p>
            <w:pPr>
              <w:jc w:val="center"/>
            </w:pPr>
            <w:r>
              <w:t>+240基点</w:t>
            </w:r>
          </w:p>
        </w:tc>
      </w:tr>
      <w:tr>
        <w:tc>
          <w:tcPr>
            <w:tcW w:type="dxa" w:w="1881"/>
            <w:vAlign w:val="center"/>
            <w:shd w:fill="EBF5FB" w:val="clear"/>
          </w:tcPr>
          <w:p>
            <w:pPr>
              <w:jc w:val="left"/>
            </w:pPr>
            <w:r>
              <w:t>调整后EBITDA</w:t>
            </w:r>
          </w:p>
        </w:tc>
        <w:tc>
          <w:tcPr>
            <w:tcW w:type="dxa" w:w="1881"/>
            <w:vAlign w:val="center"/>
            <w:shd w:fill="EBF5FB" w:val="clear"/>
          </w:tcPr>
          <w:p>
            <w:pPr>
              <w:jc w:val="center"/>
            </w:pPr>
            <w:r>
              <w:t>亏损1,740万</w:t>
            </w:r>
          </w:p>
        </w:tc>
        <w:tc>
          <w:tcPr>
            <w:tcW w:type="dxa" w:w="1881"/>
            <w:vAlign w:val="center"/>
            <w:shd w:fill="EBF5FB" w:val="clear"/>
          </w:tcPr>
          <w:p>
            <w:pPr>
              <w:jc w:val="center"/>
            </w:pPr>
            <w:r>
              <w:t>亏损2,300–2,900万</w:t>
            </w:r>
          </w:p>
        </w:tc>
        <w:tc>
          <w:tcPr>
            <w:tcW w:type="dxa" w:w="1881"/>
            <w:vAlign w:val="center"/>
            <w:shd w:fill="EBF5FB" w:val="clear"/>
          </w:tcPr>
          <w:p>
            <w:pPr>
              <w:jc w:val="center"/>
            </w:pPr>
            <w:r>
              <w:rPr>
                <w:b/>
                <w:color w:val="27AE60"/>
                <w:sz w:val="18"/>
              </w:rPr>
              <w:t>✔ 超预期</w:t>
            </w:r>
          </w:p>
        </w:tc>
        <w:tc>
          <w:tcPr>
            <w:tcW w:type="dxa" w:w="1881"/>
            <w:vAlign w:val="center"/>
            <w:shd w:fill="EBF5FB" w:val="clear"/>
          </w:tcPr>
          <w:p>
            <w:pPr>
              <w:jc w:val="center"/>
            </w:pPr>
            <w:r>
              <w:t>持续改善</w:t>
            </w:r>
          </w:p>
        </w:tc>
      </w:tr>
      <w:tr>
        <w:tc>
          <w:tcPr>
            <w:tcW w:type="dxa" w:w="1881"/>
            <w:vAlign w:val="center"/>
          </w:tcPr>
          <w:p>
            <w:pPr>
              <w:jc w:val="left"/>
            </w:pPr>
            <w:r>
              <w:t>GAAP每股亏损</w:t>
            </w:r>
          </w:p>
        </w:tc>
        <w:tc>
          <w:tcPr>
            <w:tcW w:type="dxa" w:w="1881"/>
            <w:vAlign w:val="center"/>
          </w:tcPr>
          <w:p>
            <w:pPr>
              <w:jc w:val="center"/>
            </w:pPr>
            <w:r>
              <w:t>0.09美元</w:t>
            </w:r>
          </w:p>
        </w:tc>
        <w:tc>
          <w:tcPr>
            <w:tcW w:type="dxa" w:w="1881"/>
            <w:vAlign w:val="center"/>
          </w:tcPr>
          <w:p>
            <w:pPr>
              <w:jc w:val="center"/>
            </w:pPr>
            <w:r>
              <w:t>0.09–0.10美元</w:t>
            </w:r>
          </w:p>
        </w:tc>
        <w:tc>
          <w:tcPr>
            <w:tcW w:type="dxa" w:w="1881"/>
            <w:vAlign w:val="center"/>
          </w:tcPr>
          <w:p>
            <w:pPr>
              <w:jc w:val="center"/>
            </w:pPr>
            <w:r>
              <w:rPr>
                <w:b/>
                <w:color w:val="27AE60"/>
                <w:sz w:val="18"/>
              </w:rPr>
              <w:t>✔ 基本持平</w:t>
            </w:r>
          </w:p>
        </w:tc>
        <w:tc>
          <w:tcPr>
            <w:tcW w:type="dxa" w:w="1881"/>
            <w:vAlign w:val="center"/>
          </w:tcPr>
          <w:p>
            <w:pPr>
              <w:jc w:val="center"/>
            </w:pPr>
            <w:r>
              <w:t>—</w:t>
            </w:r>
          </w:p>
        </w:tc>
      </w:tr>
      <w:tr>
        <w:tc>
          <w:tcPr>
            <w:tcW w:type="dxa" w:w="1881"/>
            <w:vAlign w:val="center"/>
            <w:shd w:fill="EBF5FB" w:val="clear"/>
          </w:tcPr>
          <w:p>
            <w:pPr>
              <w:jc w:val="left"/>
            </w:pPr>
            <w:r>
              <w:t>在手订单</w:t>
            </w:r>
          </w:p>
        </w:tc>
        <w:tc>
          <w:tcPr>
            <w:tcW w:type="dxa" w:w="1881"/>
            <w:vAlign w:val="center"/>
            <w:shd w:fill="EBF5FB" w:val="clear"/>
          </w:tcPr>
          <w:p>
            <w:pPr>
              <w:jc w:val="center"/>
            </w:pPr>
            <w:r>
              <w:t>18.5亿美元</w:t>
            </w:r>
          </w:p>
        </w:tc>
        <w:tc>
          <w:tcPr>
            <w:tcW w:type="dxa" w:w="1881"/>
            <w:vAlign w:val="center"/>
            <w:shd w:fill="EBF5FB" w:val="clear"/>
          </w:tcPr>
          <w:p>
            <w:pPr>
              <w:jc w:val="center"/>
            </w:pPr>
            <w:r>
              <w:t>—</w:t>
            </w:r>
          </w:p>
        </w:tc>
        <w:tc>
          <w:tcPr>
            <w:tcW w:type="dxa" w:w="1881"/>
            <w:vAlign w:val="center"/>
            <w:shd w:fill="EBF5FB" w:val="clear"/>
          </w:tcPr>
          <w:p>
            <w:pPr>
              <w:jc w:val="center"/>
            </w:pPr>
            <w:r>
              <w:t>+73% 同比</w:t>
            </w:r>
          </w:p>
        </w:tc>
        <w:tc>
          <w:tcPr>
            <w:tcW w:type="dxa" w:w="1881"/>
            <w:vAlign w:val="center"/>
            <w:shd w:fill="EBF5FB" w:val="clear"/>
          </w:tcPr>
          <w:p>
            <w:pPr>
              <w:jc w:val="center"/>
            </w:pPr>
            <w:r>
              <w:t>—</w:t>
            </w:r>
          </w:p>
        </w:tc>
      </w:tr>
      <w:tr>
        <w:tc>
          <w:tcPr>
            <w:tcW w:type="dxa" w:w="1881"/>
            <w:vAlign w:val="center"/>
          </w:tcPr>
          <w:p>
            <w:pPr>
              <w:jc w:val="left"/>
            </w:pPr>
            <w:r>
              <w:t>全年2025营收</w:t>
            </w:r>
          </w:p>
        </w:tc>
        <w:tc>
          <w:tcPr>
            <w:tcW w:type="dxa" w:w="1881"/>
            <w:vAlign w:val="center"/>
          </w:tcPr>
          <w:p>
            <w:pPr>
              <w:jc w:val="center"/>
            </w:pPr>
            <w:r>
              <w:t>6.018亿美元</w:t>
            </w:r>
          </w:p>
        </w:tc>
        <w:tc>
          <w:tcPr>
            <w:tcW w:type="dxa" w:w="1881"/>
            <w:vAlign w:val="center"/>
          </w:tcPr>
          <w:p>
            <w:pPr>
              <w:jc w:val="center"/>
            </w:pPr>
            <w:r>
              <w:t>—</w:t>
            </w:r>
          </w:p>
        </w:tc>
        <w:tc>
          <w:tcPr>
            <w:tcW w:type="dxa" w:w="1881"/>
            <w:vAlign w:val="center"/>
          </w:tcPr>
          <w:p>
            <w:pPr>
              <w:jc w:val="center"/>
            </w:pPr>
            <w:r>
              <w:t>+38% 同比</w:t>
            </w:r>
          </w:p>
        </w:tc>
        <w:tc>
          <w:tcPr>
            <w:tcW w:type="dxa" w:w="1881"/>
            <w:vAlign w:val="center"/>
          </w:tcPr>
          <w:p>
            <w:pPr>
              <w:jc w:val="center"/>
            </w:pPr>
            <w:r>
              <w:t>—</w:t>
            </w:r>
          </w:p>
        </w:tc>
      </w:tr>
    </w:tbl>
    <w:p>
      <w:r>
        <w:br w:type="page"/>
      </w:r>
    </w:p>
    <w:p>
      <w:pPr>
        <w:spacing w:before="280" w:after="80"/>
        <w:jc w:val="left"/>
        <w:pBdr>
          <w:bottom w:val="single" w:sz="6" w:space="4" w:color="1B3A6B"/>
        </w:pBdr>
      </w:pPr>
      <w:r>
        <w:rPr>
          <w:rFonts w:eastAsia="黑体"/>
          <w:b/>
          <w:color w:val="1B3A6B"/>
          <w:sz w:val="24"/>
        </w:rPr>
        <w:t>详细业绩分析</w:t>
      </w:r>
    </w:p>
    <w:p>
      <w:pPr>
        <w:spacing w:before="280" w:after="80"/>
        <w:jc w:val="left"/>
        <w:pBdr>
          <w:bottom w:val="single" w:sz="6" w:space="4" w:color="1B3A6B"/>
        </w:pBdr>
      </w:pPr>
      <w:r>
        <w:rPr>
          <w:rFonts w:eastAsia="黑体"/>
          <w:b/>
          <w:color w:val="1B3A6B"/>
          <w:sz w:val="21"/>
        </w:rPr>
        <w:t>营收：发射服务飞跃式增长创历史新高</w:t>
      </w:r>
    </w:p>
    <w:p>
      <w:pPr>
        <w:spacing w:after="80"/>
      </w:pPr>
      <w:r>
        <w:rPr>
          <w:rFonts w:eastAsia="宋体"/>
          <w:b w:val="0"/>
          <w:i w:val="0"/>
          <w:sz w:val="20"/>
        </w:rPr>
        <w:t>火箭实验室2025年第四季度营收1.797亿美元，创季度历史新高，同比增长36%、环比增长16%。本季度最突出的亮点是发射服务营收大幅跃升85%至7,590万美元，共完成6次Electron发射，创单季发射纪录。航天系统营收1.038亿美元，环比下降9%，主要受部分航天器项目完工节点影响，但全年仍是最大业务板块。</w:t>
      </w:r>
    </w:p>
    <w:p>
      <w:pPr>
        <w:jc w:val="center"/>
      </w:pPr>
      <w:r>
        <w:drawing>
          <wp:inline xmlns:a="http://schemas.openxmlformats.org/drawingml/2006/main" xmlns:pic="http://schemas.openxmlformats.org/drawingml/2006/picture">
            <wp:extent cx="5669280" cy="3115129"/>
            <wp:docPr id="1" name="Picture 1"/>
            <wp:cNvGraphicFramePr>
              <a:graphicFrameLocks noChangeAspect="1"/>
            </wp:cNvGraphicFramePr>
            <a:graphic>
              <a:graphicData uri="http://schemas.openxmlformats.org/drawingml/2006/picture">
                <pic:pic>
                  <pic:nvPicPr>
                    <pic:cNvPr id="0" name="rklb_chart1_quarterly_revenue.png"/>
                    <pic:cNvPicPr/>
                  </pic:nvPicPr>
                  <pic:blipFill>
                    <a:blip r:embed="rId9"/>
                    <a:stretch>
                      <a:fillRect/>
                    </a:stretch>
                  </pic:blipFill>
                  <pic:spPr>
                    <a:xfrm>
                      <a:off x="0" y="0"/>
                      <a:ext cx="5669280" cy="3115129"/>
                    </a:xfrm>
                    <a:prstGeom prst="rect"/>
                  </pic:spPr>
                </pic:pic>
              </a:graphicData>
            </a:graphic>
          </wp:inline>
        </w:drawing>
      </w:r>
    </w:p>
    <w:p>
      <w:pPr>
        <w:spacing w:after="120"/>
        <w:jc w:val="center"/>
      </w:pPr>
      <w:r>
        <w:rPr>
          <w:rFonts w:eastAsia="宋体"/>
          <w:i/>
          <w:color w:val="8C8C8C"/>
          <w:sz w:val="17"/>
        </w:rPr>
        <w:t>图1：2024年第一季度至2025年第四季度营收走势 | 来源：火箭实验室业绩公告</w:t>
      </w:r>
    </w:p>
    <w:p>
      <w:pPr>
        <w:spacing w:after="80"/>
      </w:pPr>
      <w:r>
        <w:rPr>
          <w:rFonts w:eastAsia="宋体"/>
          <w:b w:val="0"/>
          <w:i w:val="0"/>
          <w:sz w:val="20"/>
        </w:rPr>
        <w:t>全年2025年总营收达6.018亿美元（同比+38%），显著高于2024年的4.362亿美元。其中发射服务贡献1.99亿美元（同比+59%），航天系统贡献4.028亿美元（同比+30%），彰显公司向卫星制造与任务服务转型的战略成效。</w:t>
      </w:r>
    </w:p>
    <w:p>
      <w:pPr>
        <w:jc w:val="center"/>
      </w:pPr>
      <w:r>
        <w:drawing>
          <wp:inline xmlns:a="http://schemas.openxmlformats.org/drawingml/2006/main" xmlns:pic="http://schemas.openxmlformats.org/drawingml/2006/picture">
            <wp:extent cx="5669280" cy="2938487"/>
            <wp:docPr id="2" name="Picture 2"/>
            <wp:cNvGraphicFramePr>
              <a:graphicFrameLocks noChangeAspect="1"/>
            </wp:cNvGraphicFramePr>
            <a:graphic>
              <a:graphicData uri="http://schemas.openxmlformats.org/drawingml/2006/picture">
                <pic:pic>
                  <pic:nvPicPr>
                    <pic:cNvPr id="0" name="rklb_chart3_segment_revenue.png"/>
                    <pic:cNvPicPr/>
                  </pic:nvPicPr>
                  <pic:blipFill>
                    <a:blip r:embed="rId10"/>
                    <a:stretch>
                      <a:fillRect/>
                    </a:stretch>
                  </pic:blipFill>
                  <pic:spPr>
                    <a:xfrm>
                      <a:off x="0" y="0"/>
                      <a:ext cx="5669280" cy="2938487"/>
                    </a:xfrm>
                    <a:prstGeom prst="rect"/>
                  </pic:spPr>
                </pic:pic>
              </a:graphicData>
            </a:graphic>
          </wp:inline>
        </w:drawing>
      </w:r>
    </w:p>
    <w:p>
      <w:pPr>
        <w:spacing w:after="120"/>
        <w:jc w:val="center"/>
      </w:pPr>
      <w:r>
        <w:rPr>
          <w:rFonts w:eastAsia="宋体"/>
          <w:i/>
          <w:color w:val="8C8C8C"/>
          <w:sz w:val="17"/>
        </w:rPr>
        <w:t>图2：Q4 2025营收结构及年度分部对比 | 来源：火箭实验室业绩公告</w:t>
      </w:r>
    </w:p>
    <w:p>
      <w:pPr>
        <w:spacing w:before="280" w:after="80"/>
        <w:jc w:val="left"/>
        <w:pBdr>
          <w:bottom w:val="single" w:sz="6" w:space="4" w:color="1B3A6B"/>
        </w:pBdr>
      </w:pPr>
      <w:r>
        <w:rPr>
          <w:rFonts w:eastAsia="黑体"/>
          <w:b/>
          <w:color w:val="1B3A6B"/>
          <w:sz w:val="21"/>
        </w:rPr>
        <w:t>超预期/低于预期分析</w:t>
      </w:r>
    </w:p>
    <w:p>
      <w:pPr>
        <w:spacing w:after="80"/>
      </w:pPr>
      <w:r>
        <w:rPr>
          <w:rFonts w:eastAsia="宋体"/>
          <w:b w:val="0"/>
          <w:i w:val="0"/>
          <w:sz w:val="20"/>
        </w:rPr>
        <w:t>本季度各项核心指标均超出预期或达成指引：</w:t>
      </w:r>
    </w:p>
    <w:p>
      <w:pPr>
        <w:jc w:val="center"/>
      </w:pPr>
      <w:r>
        <w:drawing>
          <wp:inline xmlns:a="http://schemas.openxmlformats.org/drawingml/2006/main" xmlns:pic="http://schemas.openxmlformats.org/drawingml/2006/picture">
            <wp:extent cx="5669280" cy="2794297"/>
            <wp:docPr id="3" name="Picture 3"/>
            <wp:cNvGraphicFramePr>
              <a:graphicFrameLocks noChangeAspect="1"/>
            </wp:cNvGraphicFramePr>
            <a:graphic>
              <a:graphicData uri="http://schemas.openxmlformats.org/drawingml/2006/picture">
                <pic:pic>
                  <pic:nvPicPr>
                    <pic:cNvPr id="0" name="rklb_chart4_beat_miss.png"/>
                    <pic:cNvPicPr/>
                  </pic:nvPicPr>
                  <pic:blipFill>
                    <a:blip r:embed="rId11"/>
                    <a:stretch>
                      <a:fillRect/>
                    </a:stretch>
                  </pic:blipFill>
                  <pic:spPr>
                    <a:xfrm>
                      <a:off x="0" y="0"/>
                      <a:ext cx="5669280" cy="2794297"/>
                    </a:xfrm>
                    <a:prstGeom prst="rect"/>
                  </pic:spPr>
                </pic:pic>
              </a:graphicData>
            </a:graphic>
          </wp:inline>
        </w:drawing>
      </w:r>
    </w:p>
    <w:p>
      <w:pPr>
        <w:spacing w:after="120"/>
        <w:jc w:val="center"/>
      </w:pPr>
      <w:r>
        <w:rPr>
          <w:rFonts w:eastAsia="宋体"/>
          <w:i/>
          <w:color w:val="8C8C8C"/>
          <w:sz w:val="17"/>
        </w:rPr>
        <w:t>图3：Q4 2025超预期/低于预期汇总 | 来源：Bloomberg、火箭实验室</w:t>
      </w:r>
    </w:p>
    <w:p>
      <w:pPr>
        <w:pStyle w:val="ListBullet"/>
        <w:spacing w:after="60"/>
        <w:ind w:left="360"/>
      </w:pPr>
      <w:r>
        <w:rPr>
          <w:rFonts w:eastAsia="宋体"/>
          <w:sz w:val="20"/>
        </w:rPr>
        <w:t>营收1.797亿美元超出市场一致预期约1.77亿美元1.6%，得益于优于预期的发射执行节奏。</w:t>
      </w:r>
    </w:p>
    <w:p>
      <w:pPr>
        <w:pStyle w:val="ListBullet"/>
        <w:spacing w:after="60"/>
        <w:ind w:left="360"/>
      </w:pPr>
      <w:r>
        <w:rPr>
          <w:rFonts w:eastAsia="宋体"/>
          <w:sz w:val="20"/>
        </w:rPr>
        <w:t>调整后EBITDA亏损1,740万美元，比公司指引（亏损2,300–2,900万美元）好出560–1,160万美元，主要归因于更高营收及毛利率扩张。</w:t>
      </w:r>
    </w:p>
    <w:p>
      <w:pPr>
        <w:pStyle w:val="ListBullet"/>
        <w:spacing w:after="60"/>
        <w:ind w:left="360"/>
      </w:pPr>
      <w:r>
        <w:rPr>
          <w:rFonts w:eastAsia="宋体"/>
          <w:sz w:val="20"/>
        </w:rPr>
        <w:t>GAAP每股亏损0.09美元，与市场预期（0.09–0.10美元亏损）基本持平，反映Neutron研发投入持续加大。</w:t>
      </w:r>
    </w:p>
    <w:p>
      <w:pPr>
        <w:pStyle w:val="ListBullet"/>
        <w:spacing w:after="60"/>
        <w:ind w:left="360"/>
      </w:pPr>
      <w:r>
        <w:rPr>
          <w:rFonts w:eastAsia="宋体"/>
          <w:sz w:val="20"/>
        </w:rPr>
        <w:t>GAAP毛利率38%超出分析师普遍预期的35–37%，受益于更高利润率发射组合及航天系统成本优化。</w:t>
      </w:r>
    </w:p>
    <w:p>
      <w:pPr>
        <w:spacing w:before="280" w:after="80"/>
        <w:jc w:val="left"/>
        <w:pBdr>
          <w:bottom w:val="single" w:sz="6" w:space="4" w:color="1B3A6B"/>
        </w:pBdr>
      </w:pPr>
      <w:r>
        <w:rPr>
          <w:rFonts w:eastAsia="黑体"/>
          <w:b/>
          <w:color w:val="1B3A6B"/>
          <w:sz w:val="21"/>
        </w:rPr>
        <w:t>毛利率：结构性改善持续推进</w:t>
      </w:r>
    </w:p>
    <w:p>
      <w:pPr>
        <w:spacing w:after="80"/>
      </w:pPr>
      <w:r>
        <w:rPr>
          <w:rFonts w:eastAsia="宋体"/>
          <w:b w:val="0"/>
          <w:i w:val="0"/>
          <w:sz w:val="20"/>
        </w:rPr>
        <w:t>2025年第四季度再次录得明显的毛利率扩张。GAAP毛利率38%环比提升100个基点，较2024年第一季度的20%扩张超900个基点。非GAAP毛利率达44%，环比提升240个基点。这一趋势反映：（1）Electron火箭复用效益逐步显现；（2）航天系统项目执行效率持续提升；（3）随着火箭实验室转向定制清单定价，高利润率发射合同比重提升。</w:t>
      </w:r>
    </w:p>
    <w:p>
      <w:pPr>
        <w:jc w:val="center"/>
      </w:pPr>
      <w:r>
        <w:drawing>
          <wp:inline xmlns:a="http://schemas.openxmlformats.org/drawingml/2006/main" xmlns:pic="http://schemas.openxmlformats.org/drawingml/2006/picture">
            <wp:extent cx="5669280" cy="3117466"/>
            <wp:docPr id="4" name="Picture 4"/>
            <wp:cNvGraphicFramePr>
              <a:graphicFrameLocks noChangeAspect="1"/>
            </wp:cNvGraphicFramePr>
            <a:graphic>
              <a:graphicData uri="http://schemas.openxmlformats.org/drawingml/2006/picture">
                <pic:pic>
                  <pic:nvPicPr>
                    <pic:cNvPr id="0" name="rklb_chart5_gross_margin.png"/>
                    <pic:cNvPicPr/>
                  </pic:nvPicPr>
                  <pic:blipFill>
                    <a:blip r:embed="rId12"/>
                    <a:stretch>
                      <a:fillRect/>
                    </a:stretch>
                  </pic:blipFill>
                  <pic:spPr>
                    <a:xfrm>
                      <a:off x="0" y="0"/>
                      <a:ext cx="5669280" cy="3117466"/>
                    </a:xfrm>
                    <a:prstGeom prst="rect"/>
                  </pic:spPr>
                </pic:pic>
              </a:graphicData>
            </a:graphic>
          </wp:inline>
        </w:drawing>
      </w:r>
    </w:p>
    <w:p>
      <w:pPr>
        <w:spacing w:after="120"/>
        <w:jc w:val="center"/>
      </w:pPr>
      <w:r>
        <w:rPr>
          <w:rFonts w:eastAsia="宋体"/>
          <w:i/>
          <w:color w:val="8C8C8C"/>
          <w:sz w:val="17"/>
        </w:rPr>
        <w:t>图4：GAAP与非GAAP毛利率走势 | 来源：火箭实验室业绩公告</w:t>
      </w:r>
    </w:p>
    <w:p>
      <w:r>
        <w:br w:type="page"/>
      </w:r>
    </w:p>
    <w:p>
      <w:pPr>
        <w:spacing w:before="280" w:after="80"/>
        <w:jc w:val="left"/>
        <w:pBdr>
          <w:bottom w:val="single" w:sz="6" w:space="4" w:color="1B3A6B"/>
        </w:pBdr>
      </w:pPr>
      <w:r>
        <w:rPr>
          <w:rFonts w:eastAsia="黑体"/>
          <w:b/>
          <w:color w:val="1B3A6B"/>
          <w:sz w:val="24"/>
        </w:rPr>
        <w:t>核心指标与业绩指引</w:t>
      </w:r>
    </w:p>
    <w:p>
      <w:pPr>
        <w:spacing w:before="280" w:after="80"/>
        <w:jc w:val="left"/>
        <w:pBdr>
          <w:bottom w:val="single" w:sz="6" w:space="4" w:color="1B3A6B"/>
        </w:pBdr>
      </w:pPr>
      <w:r>
        <w:rPr>
          <w:rFonts w:eastAsia="黑体"/>
          <w:b/>
          <w:color w:val="1B3A6B"/>
          <w:sz w:val="21"/>
        </w:rPr>
        <w:t>调整后EBITDA：亏损持续收窄，趋近盈亏平衡</w:t>
      </w:r>
    </w:p>
    <w:p>
      <w:pPr>
        <w:spacing w:after="80"/>
      </w:pPr>
      <w:r>
        <w:rPr>
          <w:rFonts w:eastAsia="宋体"/>
          <w:b w:val="0"/>
          <w:i w:val="0"/>
          <w:sz w:val="20"/>
        </w:rPr>
        <w:t>2025年第四季度调整后EBITDA亏损1,740万美元，相比第三季度的亏损2,630万美元和第一季度的亏损3,300万美元大幅改善。亏损收窄轨迹清晰，管理层重申预计2026全年调整后EBITDA将转为正值。主要制约因素仍是Neutron研发支出，我们估算约每季度2,000–2,500万美元。</w:t>
      </w:r>
    </w:p>
    <w:p>
      <w:pPr>
        <w:jc w:val="center"/>
      </w:pPr>
      <w:r>
        <w:drawing>
          <wp:inline xmlns:a="http://schemas.openxmlformats.org/drawingml/2006/main" xmlns:pic="http://schemas.openxmlformats.org/drawingml/2006/picture">
            <wp:extent cx="5029200" cy="3109269"/>
            <wp:docPr id="5" name="Picture 5"/>
            <wp:cNvGraphicFramePr>
              <a:graphicFrameLocks noChangeAspect="1"/>
            </wp:cNvGraphicFramePr>
            <a:graphic>
              <a:graphicData uri="http://schemas.openxmlformats.org/drawingml/2006/picture">
                <pic:pic>
                  <pic:nvPicPr>
                    <pic:cNvPr id="0" name="rklb_chart6_adj_ebitda.png"/>
                    <pic:cNvPicPr/>
                  </pic:nvPicPr>
                  <pic:blipFill>
                    <a:blip r:embed="rId13"/>
                    <a:stretch>
                      <a:fillRect/>
                    </a:stretch>
                  </pic:blipFill>
                  <pic:spPr>
                    <a:xfrm>
                      <a:off x="0" y="0"/>
                      <a:ext cx="5029200" cy="3109269"/>
                    </a:xfrm>
                    <a:prstGeom prst="rect"/>
                  </pic:spPr>
                </pic:pic>
              </a:graphicData>
            </a:graphic>
          </wp:inline>
        </w:drawing>
      </w:r>
    </w:p>
    <w:p>
      <w:pPr>
        <w:spacing w:after="120"/>
        <w:jc w:val="center"/>
      </w:pPr>
      <w:r>
        <w:rPr>
          <w:rFonts w:eastAsia="宋体"/>
          <w:i/>
          <w:color w:val="8C8C8C"/>
          <w:sz w:val="17"/>
        </w:rPr>
        <w:t>图5：2025年各季度调整后EBITDA走势 | 来源：火箭实验室业绩公告</w:t>
      </w:r>
    </w:p>
    <w:p>
      <w:pPr>
        <w:spacing w:before="280" w:after="80"/>
        <w:jc w:val="left"/>
        <w:pBdr>
          <w:bottom w:val="single" w:sz="6" w:space="4" w:color="1B3A6B"/>
        </w:pBdr>
      </w:pPr>
      <w:r>
        <w:rPr>
          <w:rFonts w:eastAsia="黑体"/>
          <w:b/>
          <w:color w:val="1B3A6B"/>
          <w:sz w:val="21"/>
        </w:rPr>
        <w:t>在手订单与营收可见度</w:t>
      </w:r>
    </w:p>
    <w:p>
      <w:pPr>
        <w:spacing w:after="80"/>
      </w:pPr>
      <w:r>
        <w:rPr>
          <w:rFonts w:eastAsia="宋体"/>
          <w:b w:val="0"/>
          <w:i w:val="0"/>
          <w:sz w:val="20"/>
        </w:rPr>
        <w:t>公司2025年第四季度末合同在手订单达创历史新高的18.5亿美元，同比增长73%（约10.7亿美元）。这为公司提供了极强的营收可见度，约覆盖2025年全年营收的3倍。在手订单结构中航天系统占74%、发射服务占26%，凸显公司已成功从纯发射服务商转型为航天器制造及任务集成商。</w:t>
      </w:r>
    </w:p>
    <w:p>
      <w:pPr>
        <w:spacing w:after="80"/>
      </w:pPr>
      <w:r>
        <w:rPr>
          <w:rFonts w:eastAsia="宋体"/>
          <w:b w:val="0"/>
          <w:i w:val="0"/>
          <w:sz w:val="20"/>
        </w:rPr>
        <w:t>从美国太空发展局（SDA）斩获的8.16亿美元主合同——用于交付18颗先进导弹预警卫星——是公司历史上最大的单笔合同，有力证明火箭实验室已能与诺斯罗普·格鲁曼、L3哈里斯等大型国防企业同台竞争。</w:t>
      </w:r>
    </w:p>
    <w:p>
      <w:pPr>
        <w:spacing w:before="280" w:after="80"/>
        <w:jc w:val="left"/>
        <w:pBdr>
          <w:bottom w:val="single" w:sz="6" w:space="4" w:color="1B3A6B"/>
        </w:pBdr>
      </w:pPr>
      <w:r>
        <w:rPr>
          <w:rFonts w:eastAsia="黑体"/>
          <w:b/>
          <w:color w:val="1B3A6B"/>
          <w:sz w:val="21"/>
        </w:rPr>
        <w:t>发射节奏：2025年全年21次创历史纪录</w:t>
      </w:r>
    </w:p>
    <w:p>
      <w:pPr>
        <w:spacing w:after="80"/>
      </w:pPr>
      <w:r>
        <w:rPr>
          <w:rFonts w:eastAsia="宋体"/>
          <w:b w:val="0"/>
          <w:i w:val="0"/>
          <w:sz w:val="20"/>
        </w:rPr>
        <w:t>2025年全年共完成21次Electron发射（2024年16次），第四季度创下单季7次发射纪录（含1次HASTE高超音速亚轨道任务），全年任务成功率100%。Electron持续的可靠性与不断增长的客户订单，使我们有信心2026年每季度6–7次以上的发射节奏具备可持续性。</w:t>
      </w:r>
    </w:p>
    <w:p>
      <w:pPr>
        <w:jc w:val="center"/>
      </w:pPr>
      <w:r>
        <w:drawing>
          <wp:inline xmlns:a="http://schemas.openxmlformats.org/drawingml/2006/main" xmlns:pic="http://schemas.openxmlformats.org/drawingml/2006/picture">
            <wp:extent cx="5669280" cy="3110880"/>
            <wp:docPr id="6" name="Picture 6"/>
            <wp:cNvGraphicFramePr>
              <a:graphicFrameLocks noChangeAspect="1"/>
            </wp:cNvGraphicFramePr>
            <a:graphic>
              <a:graphicData uri="http://schemas.openxmlformats.org/drawingml/2006/picture">
                <pic:pic>
                  <pic:nvPicPr>
                    <pic:cNvPr id="0" name="rklb_chart9_launch_cadence.png"/>
                    <pic:cNvPicPr/>
                  </pic:nvPicPr>
                  <pic:blipFill>
                    <a:blip r:embed="rId14"/>
                    <a:stretch>
                      <a:fillRect/>
                    </a:stretch>
                  </pic:blipFill>
                  <pic:spPr>
                    <a:xfrm>
                      <a:off x="0" y="0"/>
                      <a:ext cx="5669280" cy="3110880"/>
                    </a:xfrm>
                    <a:prstGeom prst="rect"/>
                  </pic:spPr>
                </pic:pic>
              </a:graphicData>
            </a:graphic>
          </wp:inline>
        </w:drawing>
      </w:r>
    </w:p>
    <w:p>
      <w:pPr>
        <w:spacing w:after="120"/>
        <w:jc w:val="center"/>
      </w:pPr>
      <w:r>
        <w:rPr>
          <w:rFonts w:eastAsia="宋体"/>
          <w:i/>
          <w:color w:val="8C8C8C"/>
          <w:sz w:val="17"/>
        </w:rPr>
        <w:t>图6：Electron发射节奏（2024年Q1至2025年Q4） | 来源：火箭实验室</w:t>
      </w:r>
    </w:p>
    <w:p>
      <w:pPr>
        <w:spacing w:before="280" w:after="80"/>
        <w:jc w:val="left"/>
        <w:pBdr>
          <w:bottom w:val="single" w:sz="6" w:space="4" w:color="1B3A6B"/>
        </w:pBdr>
      </w:pPr>
      <w:r>
        <w:rPr>
          <w:rFonts w:eastAsia="黑体"/>
          <w:b/>
          <w:color w:val="1B3A6B"/>
          <w:sz w:val="21"/>
        </w:rPr>
        <w:t>2026年第一季度指引与展望</w:t>
      </w:r>
    </w:p>
    <w:p>
      <w:pPr>
        <w:spacing w:after="80"/>
      </w:pPr>
      <w:r>
        <w:rPr>
          <w:rFonts w:eastAsia="宋体"/>
          <w:b w:val="0"/>
          <w:i w:val="0"/>
          <w:sz w:val="20"/>
        </w:rPr>
        <w:t>管理层指引2026年第一季度营收1.85亿–2亿美元，GAAP毛利率34%–36%（较第四季度略有正常化）。调整后EBITDA亏损区间为2,100万–2,700万美元，略宽于第四季度，反映Neutron箱体测试失败后整改及研发加速投入。分析师对2026全年营收的一致预期约为8.85亿美元，意味着约47%的同比增长。</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6B" w:val="clear"/>
          </w:tcPr>
          <w:p>
            <w:pPr>
              <w:jc w:val="left"/>
            </w:pPr>
            <w:r>
              <w:rPr>
                <w:b/>
                <w:color w:val="FFFFFF"/>
                <w:sz w:val="18"/>
              </w:rPr>
              <w:t>指标</w:t>
            </w:r>
          </w:p>
        </w:tc>
        <w:tc>
          <w:tcPr>
            <w:tcW w:type="dxa" w:w="2351"/>
            <w:shd w:fill="1B3A6B" w:val="clear"/>
          </w:tcPr>
          <w:p>
            <w:pPr>
              <w:jc w:val="center"/>
            </w:pPr>
            <w:r>
              <w:rPr>
                <w:b/>
                <w:color w:val="FFFFFF"/>
                <w:sz w:val="18"/>
              </w:rPr>
              <w:t>Q4 2025实际值</w:t>
            </w:r>
          </w:p>
        </w:tc>
        <w:tc>
          <w:tcPr>
            <w:tcW w:type="dxa" w:w="2351"/>
            <w:shd w:fill="1B3A6B" w:val="clear"/>
          </w:tcPr>
          <w:p>
            <w:pPr>
              <w:jc w:val="center"/>
            </w:pPr>
            <w:r>
              <w:rPr>
                <w:b/>
                <w:color w:val="FFFFFF"/>
                <w:sz w:val="18"/>
              </w:rPr>
              <w:t>Q1 2026指引</w:t>
            </w:r>
          </w:p>
        </w:tc>
        <w:tc>
          <w:tcPr>
            <w:tcW w:type="dxa" w:w="2351"/>
            <w:shd w:fill="1B3A6B" w:val="clear"/>
          </w:tcPr>
          <w:p>
            <w:pPr>
              <w:jc w:val="center"/>
            </w:pPr>
            <w:r>
              <w:rPr>
                <w:b/>
                <w:color w:val="FFFFFF"/>
                <w:sz w:val="18"/>
              </w:rPr>
              <w:t>说明</w:t>
            </w:r>
          </w:p>
        </w:tc>
      </w:tr>
      <w:tr>
        <w:tc>
          <w:tcPr>
            <w:tcW w:type="dxa" w:w="2351"/>
          </w:tcPr>
          <w:p>
            <w:pPr>
              <w:jc w:val="left"/>
            </w:pPr>
            <w:r>
              <w:t>营收</w:t>
            </w:r>
          </w:p>
        </w:tc>
        <w:tc>
          <w:tcPr>
            <w:tcW w:type="dxa" w:w="2351"/>
          </w:tcPr>
          <w:p>
            <w:pPr>
              <w:jc w:val="center"/>
            </w:pPr>
            <w:r>
              <w:t>1.797亿美元</w:t>
            </w:r>
          </w:p>
        </w:tc>
        <w:tc>
          <w:tcPr>
            <w:tcW w:type="dxa" w:w="2351"/>
          </w:tcPr>
          <w:p>
            <w:pPr>
              <w:jc w:val="center"/>
            </w:pPr>
            <w:r>
              <w:t>1.85亿–2亿美元</w:t>
            </w:r>
          </w:p>
        </w:tc>
        <w:tc>
          <w:tcPr>
            <w:tcW w:type="dxa" w:w="2351"/>
          </w:tcPr>
          <w:p>
            <w:pPr>
              <w:jc w:val="center"/>
            </w:pPr>
            <w:r>
              <w:t>环比+3%至+11%</w:t>
            </w:r>
          </w:p>
        </w:tc>
      </w:tr>
      <w:tr>
        <w:tc>
          <w:tcPr>
            <w:tcW w:type="dxa" w:w="2351"/>
            <w:shd w:fill="EBF5FB" w:val="clear"/>
          </w:tcPr>
          <w:p>
            <w:pPr>
              <w:jc w:val="left"/>
            </w:pPr>
            <w:r>
              <w:t>GAAP毛利率</w:t>
            </w:r>
          </w:p>
        </w:tc>
        <w:tc>
          <w:tcPr>
            <w:tcW w:type="dxa" w:w="2351"/>
            <w:shd w:fill="EBF5FB" w:val="clear"/>
          </w:tcPr>
          <w:p>
            <w:pPr>
              <w:jc w:val="center"/>
            </w:pPr>
            <w:r>
              <w:t>38%</w:t>
            </w:r>
          </w:p>
        </w:tc>
        <w:tc>
          <w:tcPr>
            <w:tcW w:type="dxa" w:w="2351"/>
            <w:shd w:fill="EBF5FB" w:val="clear"/>
          </w:tcPr>
          <w:p>
            <w:pPr>
              <w:jc w:val="center"/>
            </w:pPr>
            <w:r>
              <w:t>34%–36%</w:t>
            </w:r>
          </w:p>
        </w:tc>
        <w:tc>
          <w:tcPr>
            <w:tcW w:type="dxa" w:w="2351"/>
            <w:shd w:fill="EBF5FB" w:val="clear"/>
          </w:tcPr>
          <w:p>
            <w:pPr>
              <w:jc w:val="center"/>
            </w:pPr>
            <w:r>
              <w:t>略有正常化</w:t>
            </w:r>
          </w:p>
        </w:tc>
      </w:tr>
      <w:tr>
        <w:tc>
          <w:tcPr>
            <w:tcW w:type="dxa" w:w="2351"/>
          </w:tcPr>
          <w:p>
            <w:pPr>
              <w:jc w:val="left"/>
            </w:pPr>
            <w:r>
              <w:t>调整后EBITDA</w:t>
            </w:r>
          </w:p>
        </w:tc>
        <w:tc>
          <w:tcPr>
            <w:tcW w:type="dxa" w:w="2351"/>
          </w:tcPr>
          <w:p>
            <w:pPr>
              <w:jc w:val="center"/>
            </w:pPr>
            <w:r>
              <w:t>亏损1,740万</w:t>
            </w:r>
          </w:p>
        </w:tc>
        <w:tc>
          <w:tcPr>
            <w:tcW w:type="dxa" w:w="2351"/>
          </w:tcPr>
          <w:p>
            <w:pPr>
              <w:jc w:val="center"/>
            </w:pPr>
            <w:r>
              <w:t>亏损2,100–2,700万</w:t>
            </w:r>
          </w:p>
        </w:tc>
        <w:tc>
          <w:tcPr>
            <w:tcW w:type="dxa" w:w="2351"/>
          </w:tcPr>
          <w:p>
            <w:pPr>
              <w:jc w:val="center"/>
            </w:pPr>
            <w:r>
              <w:t>Neutron爬坡成本</w:t>
            </w:r>
          </w:p>
        </w:tc>
      </w:tr>
      <w:tr>
        <w:tc>
          <w:tcPr>
            <w:tcW w:type="dxa" w:w="2351"/>
            <w:shd w:fill="EBF5FB" w:val="clear"/>
          </w:tcPr>
          <w:p>
            <w:pPr>
              <w:jc w:val="left"/>
            </w:pPr>
            <w:r>
              <w:t>发射次数（估）</w:t>
            </w:r>
          </w:p>
        </w:tc>
        <w:tc>
          <w:tcPr>
            <w:tcW w:type="dxa" w:w="2351"/>
            <w:shd w:fill="EBF5FB" w:val="clear"/>
          </w:tcPr>
          <w:p>
            <w:pPr>
              <w:jc w:val="center"/>
            </w:pPr>
            <w:r>
              <w:t>7次</w:t>
            </w:r>
          </w:p>
        </w:tc>
        <w:tc>
          <w:tcPr>
            <w:tcW w:type="dxa" w:w="2351"/>
            <w:shd w:fill="EBF5FB" w:val="clear"/>
          </w:tcPr>
          <w:p>
            <w:pPr>
              <w:jc w:val="center"/>
            </w:pPr>
            <w:r>
              <w:t>约5–7次</w:t>
            </w:r>
          </w:p>
        </w:tc>
        <w:tc>
          <w:tcPr>
            <w:tcW w:type="dxa" w:w="2351"/>
            <w:shd w:fill="EBF5FB" w:val="clear"/>
          </w:tcPr>
          <w:p>
            <w:pPr>
              <w:jc w:val="center"/>
            </w:pPr>
            <w:r>
              <w:t>维持高节奏</w:t>
            </w:r>
          </w:p>
        </w:tc>
      </w:tr>
    </w:tbl>
    <w:p>
      <w:pPr>
        <w:jc w:val="center"/>
      </w:pPr>
      <w:r>
        <w:drawing>
          <wp:inline xmlns:a="http://schemas.openxmlformats.org/drawingml/2006/main" xmlns:pic="http://schemas.openxmlformats.org/drawingml/2006/picture">
            <wp:extent cx="5669280" cy="3504994"/>
            <wp:docPr id="7" name="Picture 7"/>
            <wp:cNvGraphicFramePr>
              <a:graphicFrameLocks noChangeAspect="1"/>
            </wp:cNvGraphicFramePr>
            <a:graphic>
              <a:graphicData uri="http://schemas.openxmlformats.org/drawingml/2006/picture">
                <pic:pic>
                  <pic:nvPicPr>
                    <pic:cNvPr id="0" name="rklb_chart10_guidance.png"/>
                    <pic:cNvPicPr/>
                  </pic:nvPicPr>
                  <pic:blipFill>
                    <a:blip r:embed="rId15"/>
                    <a:stretch>
                      <a:fillRect/>
                    </a:stretch>
                  </pic:blipFill>
                  <pic:spPr>
                    <a:xfrm>
                      <a:off x="0" y="0"/>
                      <a:ext cx="5669280" cy="3504994"/>
                    </a:xfrm>
                    <a:prstGeom prst="rect"/>
                  </pic:spPr>
                </pic:pic>
              </a:graphicData>
            </a:graphic>
          </wp:inline>
        </w:drawing>
      </w:r>
    </w:p>
    <w:p>
      <w:pPr>
        <w:spacing w:after="120"/>
        <w:jc w:val="center"/>
      </w:pPr>
      <w:r>
        <w:rPr>
          <w:rFonts w:eastAsia="宋体"/>
          <w:i/>
          <w:color w:val="8C8C8C"/>
          <w:sz w:val="17"/>
        </w:rPr>
        <w:t>图7：营收走势与2026年第一季度指引 | 来源：火箭实验室、分析师预测</w:t>
      </w:r>
    </w:p>
    <w:p>
      <w:r>
        <w:br w:type="page"/>
      </w:r>
    </w:p>
    <w:p>
      <w:pPr>
        <w:spacing w:before="280" w:after="80"/>
        <w:jc w:val="left"/>
        <w:pBdr>
          <w:bottom w:val="single" w:sz="6" w:space="4" w:color="1B3A6B"/>
        </w:pBdr>
      </w:pPr>
      <w:r>
        <w:rPr>
          <w:rFonts w:eastAsia="黑体"/>
          <w:b/>
          <w:color w:val="1B3A6B"/>
          <w:sz w:val="24"/>
        </w:rPr>
        <w:t>投资逻辑更新</w:t>
      </w:r>
    </w:p>
    <w:p>
      <w:pPr>
        <w:spacing w:before="280" w:after="80"/>
        <w:jc w:val="left"/>
        <w:pBdr>
          <w:bottom w:val="single" w:sz="6" w:space="4" w:color="1B3A6B"/>
        </w:pBdr>
      </w:pPr>
      <w:r>
        <w:rPr>
          <w:rFonts w:eastAsia="黑体"/>
          <w:b/>
          <w:color w:val="1B3A6B"/>
          <w:sz w:val="21"/>
        </w:rPr>
        <w:t>本季度的变化</w:t>
      </w:r>
    </w:p>
    <w:p>
      <w:pPr>
        <w:spacing w:after="80"/>
      </w:pPr>
      <w:r>
        <w:rPr>
          <w:rFonts w:eastAsia="宋体"/>
          <w:b w:val="0"/>
          <w:i w:val="0"/>
          <w:sz w:val="20"/>
        </w:rPr>
        <w:t>2025年第四季度业绩强化而非改变了我们对RKLB的核心投资逻辑。关键增量变化如下：</w:t>
      </w:r>
    </w:p>
    <w:p>
      <w:pPr>
        <w:pStyle w:val="ListBullet"/>
        <w:spacing w:after="60"/>
        <w:ind w:left="360"/>
      </w:pPr>
      <w:r>
        <w:rPr>
          <w:rFonts w:eastAsia="黑体"/>
          <w:b/>
          <w:sz w:val="20"/>
        </w:rPr>
        <w:t xml:space="preserve">正面： </w:t>
      </w:r>
      <w:r>
        <w:rPr>
          <w:rFonts w:eastAsia="宋体"/>
          <w:sz w:val="20"/>
        </w:rPr>
        <w:t>GAAP毛利率38% / 非GAAP毛利率44%创历史新高，表明公司运营杠杆的释放速度超出预期——这是我们看多核心逻辑的重要支柱。</w:t>
      </w:r>
    </w:p>
    <w:p>
      <w:pPr>
        <w:pStyle w:val="ListBullet"/>
        <w:spacing w:after="60"/>
        <w:ind w:left="360"/>
      </w:pPr>
      <w:r>
        <w:rPr>
          <w:rFonts w:eastAsia="黑体"/>
          <w:b/>
          <w:sz w:val="20"/>
        </w:rPr>
        <w:t xml:space="preserve">正面： </w:t>
      </w:r>
      <w:r>
        <w:rPr>
          <w:rFonts w:eastAsia="宋体"/>
          <w:sz w:val="20"/>
        </w:rPr>
        <w:t>8.16亿美元SDA合同大幅提升了订单背景质量，确立了RKLB作为可信赖主承包商的地位，可与诺格、L3哈里斯比肩。</w:t>
      </w:r>
    </w:p>
    <w:p>
      <w:pPr>
        <w:pStyle w:val="ListBullet"/>
        <w:spacing w:after="60"/>
        <w:ind w:left="360"/>
      </w:pPr>
      <w:r>
        <w:rPr>
          <w:rFonts w:eastAsia="黑体"/>
          <w:b/>
          <w:sz w:val="20"/>
        </w:rPr>
        <w:t xml:space="preserve">负面： </w:t>
      </w:r>
      <w:r>
        <w:rPr>
          <w:rFonts w:eastAsia="宋体"/>
          <w:sz w:val="20"/>
        </w:rPr>
        <w:t>Neutron延期至2026年第四季度（此前预测为2026年中期）是一个重大挫折，我们将2026年Neutron营收贡献预测下调至接近零。</w:t>
      </w:r>
    </w:p>
    <w:p>
      <w:pPr>
        <w:pStyle w:val="ListBullet"/>
        <w:spacing w:after="60"/>
        <w:ind w:left="360"/>
      </w:pPr>
      <w:r>
        <w:rPr>
          <w:rFonts w:eastAsia="黑体"/>
          <w:b/>
          <w:sz w:val="20"/>
        </w:rPr>
        <w:t xml:space="preserve">中性/正面： </w:t>
      </w:r>
      <w:r>
        <w:rPr>
          <w:rFonts w:eastAsia="宋体"/>
          <w:sz w:val="20"/>
        </w:rPr>
        <w:t>尽管Neutron面临不确定性，2026年第一季度指引1.85亿–2亿美元表明Electron及航天系统的有机增长完全能够独立驱动业绩向上。</w:t>
      </w:r>
    </w:p>
    <w:p>
      <w:pPr>
        <w:spacing w:before="280" w:after="80"/>
        <w:jc w:val="left"/>
        <w:pBdr>
          <w:bottom w:val="single" w:sz="6" w:space="4" w:color="1B3A6B"/>
        </w:pBdr>
      </w:pPr>
      <w:r>
        <w:rPr>
          <w:rFonts w:eastAsia="黑体"/>
          <w:b/>
          <w:color w:val="1B3A6B"/>
          <w:sz w:val="21"/>
        </w:rPr>
        <w:t>投资逻辑：垂直整合打造航天服务平台</w:t>
      </w:r>
    </w:p>
    <w:p>
      <w:pPr>
        <w:spacing w:after="80"/>
      </w:pPr>
      <w:r>
        <w:rPr>
          <w:rFonts w:eastAsia="宋体"/>
          <w:b w:val="0"/>
          <w:i w:val="0"/>
          <w:sz w:val="20"/>
        </w:rPr>
        <w:t>火箭实验室正在执行一套独特的跨航天产业链垂直整合战略：（1）Electron作为全球商业小型运载火箭中发射频次最高的产品；（2）持续扩大的航天系统业务——为政府及商业客户制造航天器；（3）地面站网络和飞行软件在内的任务服务能力。这种多元化模式降低了单一项目风险，并创造了纯发射服务商无法复制的交叉销售机会。</w:t>
      </w:r>
    </w:p>
    <w:p>
      <w:pPr>
        <w:spacing w:after="80"/>
      </w:pPr>
      <w:r>
        <w:rPr>
          <w:rFonts w:eastAsia="宋体"/>
          <w:b w:val="0"/>
          <w:i w:val="0"/>
          <w:sz w:val="20"/>
        </w:rPr>
        <w:t>18.5亿美元创纪录的在手订单横跨多个年度项目，相对于RKLB约40亿美元的市值提供了极强的营收可见度。我们认为市场仍低估了航天系统合同基础的长期性与可持续性。</w:t>
      </w:r>
    </w:p>
    <w:p>
      <w:pPr>
        <w:spacing w:before="280" w:after="80"/>
        <w:jc w:val="left"/>
        <w:pBdr>
          <w:bottom w:val="single" w:sz="6" w:space="4" w:color="1B3A6B"/>
        </w:pBdr>
      </w:pPr>
      <w:r>
        <w:rPr>
          <w:rFonts w:eastAsia="黑体"/>
          <w:b/>
          <w:color w:val="1B3A6B"/>
          <w:sz w:val="21"/>
        </w:rPr>
        <w:t>主要风险</w:t>
      </w:r>
    </w:p>
    <w:p>
      <w:pPr>
        <w:pStyle w:val="ListBullet"/>
        <w:spacing w:after="60"/>
        <w:ind w:left="360"/>
      </w:pPr>
      <w:r>
        <w:rPr>
          <w:rFonts w:eastAsia="黑体"/>
          <w:b/>
          <w:sz w:val="20"/>
        </w:rPr>
        <w:t xml:space="preserve">风险一： </w:t>
      </w:r>
      <w:r>
        <w:rPr>
          <w:rFonts w:eastAsia="宋体"/>
          <w:sz w:val="20"/>
        </w:rPr>
        <w:t>Neutron研发成本超支或进一步时间表滑延可能消耗现金并摊薄股东权益。</w:t>
      </w:r>
    </w:p>
    <w:p>
      <w:pPr>
        <w:pStyle w:val="ListBullet"/>
        <w:spacing w:after="60"/>
        <w:ind w:left="360"/>
      </w:pPr>
      <w:r>
        <w:rPr>
          <w:rFonts w:eastAsia="黑体"/>
          <w:b/>
          <w:sz w:val="20"/>
        </w:rPr>
        <w:t xml:space="preserve">风险二： </w:t>
      </w:r>
      <w:r>
        <w:rPr>
          <w:rFonts w:eastAsia="宋体"/>
          <w:sz w:val="20"/>
        </w:rPr>
        <w:t>Electron发射异常或靶场安全停飞可能干扰发射节奏和客户信心。</w:t>
      </w:r>
    </w:p>
    <w:p>
      <w:pPr>
        <w:pStyle w:val="ListBullet"/>
        <w:spacing w:after="60"/>
        <w:ind w:left="360"/>
      </w:pPr>
      <w:r>
        <w:rPr>
          <w:rFonts w:eastAsia="黑体"/>
          <w:b/>
          <w:sz w:val="20"/>
        </w:rPr>
        <w:t xml:space="preserve">风险三： </w:t>
      </w:r>
      <w:r>
        <w:rPr>
          <w:rFonts w:eastAsia="宋体"/>
          <w:sz w:val="20"/>
        </w:rPr>
        <w:t>国防部（DoD）/ NASA预算压力可能放缓航天系统合同授予节奏。</w:t>
      </w:r>
    </w:p>
    <w:p>
      <w:pPr>
        <w:pStyle w:val="ListBullet"/>
        <w:spacing w:after="60"/>
        <w:ind w:left="360"/>
      </w:pPr>
      <w:r>
        <w:rPr>
          <w:rFonts w:eastAsia="黑体"/>
          <w:b/>
          <w:sz w:val="20"/>
        </w:rPr>
        <w:t xml:space="preserve">风险四： </w:t>
      </w:r>
      <w:r>
        <w:rPr>
          <w:rFonts w:eastAsia="宋体"/>
          <w:sz w:val="20"/>
        </w:rPr>
        <w:t>SpaceX猎鹰9号及欧洲新兴小型运载火箭的市场竞争压力。</w:t>
      </w:r>
    </w:p>
    <w:p>
      <w:pPr>
        <w:spacing w:before="280" w:after="80"/>
        <w:jc w:val="left"/>
        <w:pBdr>
          <w:bottom w:val="single" w:sz="6" w:space="4" w:color="1B3A6B"/>
        </w:pBdr>
      </w:pPr>
      <w:r>
        <w:rPr>
          <w:rFonts w:eastAsia="黑体"/>
          <w:b/>
          <w:color w:val="1B3A6B"/>
          <w:sz w:val="21"/>
        </w:rPr>
        <w:t>催化剂</w:t>
      </w:r>
    </w:p>
    <w:p>
      <w:pPr>
        <w:pStyle w:val="ListBullet"/>
        <w:spacing w:after="60"/>
        <w:ind w:left="360"/>
      </w:pPr>
      <w:r>
        <w:rPr>
          <w:rFonts w:eastAsia="宋体"/>
          <w:sz w:val="20"/>
        </w:rPr>
        <w:t>Neutron火箭静态点火测试及更新后的发射时间表（预计2026年上半年披露）。</w:t>
      </w:r>
    </w:p>
    <w:p>
      <w:pPr>
        <w:pStyle w:val="ListBullet"/>
        <w:spacing w:after="60"/>
        <w:ind w:left="360"/>
      </w:pPr>
      <w:r>
        <w:rPr>
          <w:rFonts w:eastAsia="宋体"/>
          <w:sz w:val="20"/>
        </w:rPr>
        <w:t>从不断增长的18.5亿美元订单管线中斩获新的SDA或国防部主合同。</w:t>
      </w:r>
    </w:p>
    <w:p>
      <w:pPr>
        <w:pStyle w:val="ListBullet"/>
        <w:spacing w:after="60"/>
        <w:ind w:left="360"/>
      </w:pPr>
      <w:r>
        <w:rPr>
          <w:rFonts w:eastAsia="宋体"/>
          <w:sz w:val="20"/>
        </w:rPr>
        <w:t>Electron复用里程碑——如实现助推器复用将加速毛利率扩张。</w:t>
      </w:r>
    </w:p>
    <w:p>
      <w:pPr>
        <w:pStyle w:val="ListBullet"/>
        <w:spacing w:after="60"/>
        <w:ind w:left="360"/>
      </w:pPr>
      <w:r>
        <w:rPr>
          <w:rFonts w:eastAsia="宋体"/>
          <w:sz w:val="20"/>
        </w:rPr>
        <w:t>调整后EBITDA转正里程碑（管理层指引2026全年实现）。</w:t>
      </w:r>
    </w:p>
    <w:p>
      <w:pPr>
        <w:pStyle w:val="ListBullet"/>
        <w:spacing w:after="60"/>
        <w:ind w:left="360"/>
      </w:pPr>
      <w:r>
        <w:rPr>
          <w:rFonts w:eastAsia="宋体"/>
          <w:sz w:val="20"/>
        </w:rPr>
        <w:t>国际发射合作伙伴关系或行业会议中宣布新的商业卫星客户。</w:t>
      </w:r>
    </w:p>
    <w:p>
      <w:r>
        <w:br w:type="page"/>
      </w:r>
    </w:p>
    <w:p>
      <w:pPr>
        <w:spacing w:before="280" w:after="80"/>
        <w:jc w:val="left"/>
        <w:pBdr>
          <w:bottom w:val="single" w:sz="6" w:space="4" w:color="1B3A6B"/>
        </w:pBdr>
      </w:pPr>
      <w:r>
        <w:rPr>
          <w:rFonts w:eastAsia="黑体"/>
          <w:b/>
          <w:color w:val="1B3A6B"/>
          <w:sz w:val="24"/>
        </w:rPr>
        <w:t>估值与业绩预测</w:t>
      </w:r>
    </w:p>
    <w:p>
      <w:pPr>
        <w:spacing w:before="280" w:after="80"/>
        <w:jc w:val="left"/>
        <w:pBdr>
          <w:bottom w:val="single" w:sz="6" w:space="4" w:color="1B3A6B"/>
        </w:pBdr>
      </w:pPr>
      <w:r>
        <w:rPr>
          <w:rFonts w:eastAsia="黑体"/>
          <w:b/>
          <w:color w:val="1B3A6B"/>
          <w:sz w:val="21"/>
        </w:rPr>
        <w:t>年度营收走势</w:t>
      </w:r>
    </w:p>
    <w:p>
      <w:pPr>
        <w:jc w:val="center"/>
      </w:pPr>
      <w:r>
        <w:drawing>
          <wp:inline xmlns:a="http://schemas.openxmlformats.org/drawingml/2006/main" xmlns:pic="http://schemas.openxmlformats.org/drawingml/2006/picture">
            <wp:extent cx="5486400" cy="3010529"/>
            <wp:docPr id="8" name="Picture 8"/>
            <wp:cNvGraphicFramePr>
              <a:graphicFrameLocks noChangeAspect="1"/>
            </wp:cNvGraphicFramePr>
            <a:graphic>
              <a:graphicData uri="http://schemas.openxmlformats.org/drawingml/2006/picture">
                <pic:pic>
                  <pic:nvPicPr>
                    <pic:cNvPr id="0" name="rklb_chart7_annual_revenue.png"/>
                    <pic:cNvPicPr/>
                  </pic:nvPicPr>
                  <pic:blipFill>
                    <a:blip r:embed="rId16"/>
                    <a:stretch>
                      <a:fillRect/>
                    </a:stretch>
                  </pic:blipFill>
                  <pic:spPr>
                    <a:xfrm>
                      <a:off x="0" y="0"/>
                      <a:ext cx="5486400" cy="3010529"/>
                    </a:xfrm>
                    <a:prstGeom prst="rect"/>
                  </pic:spPr>
                </pic:pic>
              </a:graphicData>
            </a:graphic>
          </wp:inline>
        </w:drawing>
      </w:r>
    </w:p>
    <w:p>
      <w:pPr>
        <w:spacing w:after="120"/>
        <w:jc w:val="center"/>
      </w:pPr>
      <w:r>
        <w:rPr>
          <w:rFonts w:eastAsia="宋体"/>
          <w:i/>
          <w:color w:val="8C8C8C"/>
          <w:sz w:val="17"/>
        </w:rPr>
        <w:t>图8：2021–2025年年度营收走势 | 来源：火箭实验室业绩公告</w:t>
      </w:r>
    </w:p>
    <w:p>
      <w:pPr>
        <w:jc w:val="center"/>
      </w:pPr>
      <w:r>
        <w:drawing>
          <wp:inline xmlns:a="http://schemas.openxmlformats.org/drawingml/2006/main" xmlns:pic="http://schemas.openxmlformats.org/drawingml/2006/picture">
            <wp:extent cx="4572000" cy="3245501"/>
            <wp:docPr id="9" name="Picture 9"/>
            <wp:cNvGraphicFramePr>
              <a:graphicFrameLocks noChangeAspect="1"/>
            </wp:cNvGraphicFramePr>
            <a:graphic>
              <a:graphicData uri="http://schemas.openxmlformats.org/drawingml/2006/picture">
                <pic:pic>
                  <pic:nvPicPr>
                    <pic:cNvPr id="0" name="rklb_chart8_q4_yoy.png"/>
                    <pic:cNvPicPr/>
                  </pic:nvPicPr>
                  <pic:blipFill>
                    <a:blip r:embed="rId17"/>
                    <a:stretch>
                      <a:fillRect/>
                    </a:stretch>
                  </pic:blipFill>
                  <pic:spPr>
                    <a:xfrm>
                      <a:off x="0" y="0"/>
                      <a:ext cx="4572000" cy="3245501"/>
                    </a:xfrm>
                    <a:prstGeom prst="rect"/>
                  </pic:spPr>
                </pic:pic>
              </a:graphicData>
            </a:graphic>
          </wp:inline>
        </w:drawing>
      </w:r>
    </w:p>
    <w:p>
      <w:pPr>
        <w:spacing w:after="120"/>
        <w:jc w:val="center"/>
      </w:pPr>
      <w:r>
        <w:rPr>
          <w:rFonts w:eastAsia="宋体"/>
          <w:i/>
          <w:color w:val="8C8C8C"/>
          <w:sz w:val="17"/>
        </w:rPr>
        <w:t>图9：第四季度营收同比对比 | 来源：火箭实验室业绩公告</w:t>
      </w:r>
    </w:p>
    <w:p>
      <w:pPr>
        <w:jc w:val="center"/>
      </w:pPr>
      <w:r>
        <w:drawing>
          <wp:inline xmlns:a="http://schemas.openxmlformats.org/drawingml/2006/main" xmlns:pic="http://schemas.openxmlformats.org/drawingml/2006/picture">
            <wp:extent cx="5669280" cy="3113213"/>
            <wp:docPr id="10" name="Picture 10"/>
            <wp:cNvGraphicFramePr>
              <a:graphicFrameLocks noChangeAspect="1"/>
            </wp:cNvGraphicFramePr>
            <a:graphic>
              <a:graphicData uri="http://schemas.openxmlformats.org/drawingml/2006/picture">
                <pic:pic>
                  <pic:nvPicPr>
                    <pic:cNvPr id="0" name="rklb_chart2_yoy_growth.png"/>
                    <pic:cNvPicPr/>
                  </pic:nvPicPr>
                  <pic:blipFill>
                    <a:blip r:embed="rId18"/>
                    <a:stretch>
                      <a:fillRect/>
                    </a:stretch>
                  </pic:blipFill>
                  <pic:spPr>
                    <a:xfrm>
                      <a:off x="0" y="0"/>
                      <a:ext cx="5669280" cy="3113213"/>
                    </a:xfrm>
                    <a:prstGeom prst="rect"/>
                  </pic:spPr>
                </pic:pic>
              </a:graphicData>
            </a:graphic>
          </wp:inline>
        </w:drawing>
      </w:r>
    </w:p>
    <w:p>
      <w:pPr>
        <w:spacing w:after="120"/>
        <w:jc w:val="center"/>
      </w:pPr>
      <w:r>
        <w:rPr>
          <w:rFonts w:eastAsia="宋体"/>
          <w:i/>
          <w:color w:val="8C8C8C"/>
          <w:sz w:val="17"/>
        </w:rPr>
        <w:t>图10：各季度营收同比增速 | 来源：火箭实验室业绩公告</w:t>
      </w:r>
    </w:p>
    <w:p>
      <w:pPr>
        <w:spacing w:before="280" w:after="80"/>
        <w:jc w:val="left"/>
        <w:pBdr>
          <w:bottom w:val="single" w:sz="6" w:space="4" w:color="1B3A6B"/>
        </w:pBdr>
      </w:pPr>
      <w:r>
        <w:rPr>
          <w:rFonts w:eastAsia="黑体"/>
          <w:b/>
          <w:color w:val="1B3A6B"/>
          <w:sz w:val="21"/>
        </w:rPr>
        <w:t>更新后的业绩预测</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6B" w:val="clear"/>
          </w:tcPr>
          <w:p>
            <w:pPr>
              <w:jc w:val="left"/>
            </w:pPr>
            <w:r>
              <w:rPr>
                <w:b/>
                <w:color w:val="FFFFFF"/>
                <w:sz w:val="18"/>
              </w:rPr>
              <w:t>指标</w:t>
            </w:r>
          </w:p>
        </w:tc>
        <w:tc>
          <w:tcPr>
            <w:tcW w:type="dxa" w:w="1881"/>
            <w:shd w:fill="1B3A6B" w:val="clear"/>
          </w:tcPr>
          <w:p>
            <w:pPr>
              <w:jc w:val="center"/>
            </w:pPr>
            <w:r>
              <w:rPr>
                <w:b/>
                <w:color w:val="FFFFFF"/>
                <w:sz w:val="18"/>
              </w:rPr>
              <w:t>FY2024实际</w:t>
            </w:r>
          </w:p>
        </w:tc>
        <w:tc>
          <w:tcPr>
            <w:tcW w:type="dxa" w:w="1881"/>
            <w:shd w:fill="1B3A6B" w:val="clear"/>
          </w:tcPr>
          <w:p>
            <w:pPr>
              <w:jc w:val="center"/>
            </w:pPr>
            <w:r>
              <w:rPr>
                <w:b/>
                <w:color w:val="FFFFFF"/>
                <w:sz w:val="18"/>
              </w:rPr>
              <w:t>FY2025实际</w:t>
            </w:r>
          </w:p>
        </w:tc>
        <w:tc>
          <w:tcPr>
            <w:tcW w:type="dxa" w:w="1881"/>
            <w:shd w:fill="1B3A6B" w:val="clear"/>
          </w:tcPr>
          <w:p>
            <w:pPr>
              <w:jc w:val="center"/>
            </w:pPr>
            <w:r>
              <w:rPr>
                <w:b/>
                <w:color w:val="FFFFFF"/>
                <w:sz w:val="18"/>
              </w:rPr>
              <w:t>FY2026预测</w:t>
            </w:r>
          </w:p>
        </w:tc>
        <w:tc>
          <w:tcPr>
            <w:tcW w:type="dxa" w:w="1881"/>
            <w:shd w:fill="1B3A6B" w:val="clear"/>
          </w:tcPr>
          <w:p>
            <w:pPr>
              <w:jc w:val="center"/>
            </w:pPr>
            <w:r>
              <w:rPr>
                <w:b/>
                <w:color w:val="FFFFFF"/>
                <w:sz w:val="18"/>
              </w:rPr>
              <w:t>FY2027预测</w:t>
            </w:r>
          </w:p>
        </w:tc>
      </w:tr>
      <w:tr>
        <w:tc>
          <w:tcPr>
            <w:tcW w:type="dxa" w:w="1881"/>
          </w:tcPr>
          <w:p>
            <w:pPr>
              <w:jc w:val="left"/>
            </w:pPr>
            <w:r>
              <w:t>营收</w:t>
            </w:r>
          </w:p>
        </w:tc>
        <w:tc>
          <w:tcPr>
            <w:tcW w:type="dxa" w:w="1881"/>
          </w:tcPr>
          <w:p>
            <w:pPr>
              <w:jc w:val="center"/>
            </w:pPr>
            <w:r>
              <w:t>4.362亿美元</w:t>
            </w:r>
          </w:p>
        </w:tc>
        <w:tc>
          <w:tcPr>
            <w:tcW w:type="dxa" w:w="1881"/>
          </w:tcPr>
          <w:p>
            <w:pPr>
              <w:jc w:val="center"/>
            </w:pPr>
            <w:r>
              <w:t>6.018亿美元</w:t>
            </w:r>
          </w:p>
        </w:tc>
        <w:tc>
          <w:tcPr>
            <w:tcW w:type="dxa" w:w="1881"/>
          </w:tcPr>
          <w:p>
            <w:pPr>
              <w:jc w:val="center"/>
            </w:pPr>
            <w:r>
              <w:t>约8.85亿美元</w:t>
            </w:r>
          </w:p>
        </w:tc>
        <w:tc>
          <w:tcPr>
            <w:tcW w:type="dxa" w:w="1881"/>
          </w:tcPr>
          <w:p>
            <w:pPr>
              <w:jc w:val="center"/>
            </w:pPr>
            <w:r>
              <w:t>约11.5亿美元</w:t>
            </w:r>
          </w:p>
        </w:tc>
      </w:tr>
      <w:tr>
        <w:tc>
          <w:tcPr>
            <w:tcW w:type="dxa" w:w="1881"/>
            <w:shd w:fill="EBF5FB" w:val="clear"/>
          </w:tcPr>
          <w:p>
            <w:pPr>
              <w:jc w:val="left"/>
            </w:pPr>
            <w:r>
              <w:t>同比增速</w:t>
            </w:r>
          </w:p>
        </w:tc>
        <w:tc>
          <w:tcPr>
            <w:tcW w:type="dxa" w:w="1881"/>
            <w:shd w:fill="EBF5FB" w:val="clear"/>
          </w:tcPr>
          <w:p>
            <w:pPr>
              <w:jc w:val="center"/>
            </w:pPr>
            <w:r>
              <w:t>+78%</w:t>
            </w:r>
          </w:p>
        </w:tc>
        <w:tc>
          <w:tcPr>
            <w:tcW w:type="dxa" w:w="1881"/>
            <w:shd w:fill="EBF5FB" w:val="clear"/>
          </w:tcPr>
          <w:p>
            <w:pPr>
              <w:jc w:val="center"/>
            </w:pPr>
            <w:r>
              <w:t>+38%</w:t>
            </w:r>
          </w:p>
        </w:tc>
        <w:tc>
          <w:tcPr>
            <w:tcW w:type="dxa" w:w="1881"/>
            <w:shd w:fill="EBF5FB" w:val="clear"/>
          </w:tcPr>
          <w:p>
            <w:pPr>
              <w:jc w:val="center"/>
            </w:pPr>
            <w:r>
              <w:t>+47%</w:t>
            </w:r>
          </w:p>
        </w:tc>
        <w:tc>
          <w:tcPr>
            <w:tcW w:type="dxa" w:w="1881"/>
            <w:shd w:fill="EBF5FB" w:val="clear"/>
          </w:tcPr>
          <w:p>
            <w:pPr>
              <w:jc w:val="center"/>
            </w:pPr>
            <w:r>
              <w:t>+30%</w:t>
            </w:r>
          </w:p>
        </w:tc>
      </w:tr>
      <w:tr>
        <w:tc>
          <w:tcPr>
            <w:tcW w:type="dxa" w:w="1881"/>
          </w:tcPr>
          <w:p>
            <w:pPr>
              <w:jc w:val="left"/>
            </w:pPr>
            <w:r>
              <w:t>毛利率（GAAP）</w:t>
            </w:r>
          </w:p>
        </w:tc>
        <w:tc>
          <w:tcPr>
            <w:tcW w:type="dxa" w:w="1881"/>
          </w:tcPr>
          <w:p>
            <w:pPr>
              <w:jc w:val="center"/>
            </w:pPr>
            <w:r>
              <w:t>约27%</w:t>
            </w:r>
          </w:p>
        </w:tc>
        <w:tc>
          <w:tcPr>
            <w:tcW w:type="dxa" w:w="1881"/>
          </w:tcPr>
          <w:p>
            <w:pPr>
              <w:jc w:val="center"/>
            </w:pPr>
            <w:r>
              <w:t>约35%</w:t>
            </w:r>
          </w:p>
        </w:tc>
        <w:tc>
          <w:tcPr>
            <w:tcW w:type="dxa" w:w="1881"/>
          </w:tcPr>
          <w:p>
            <w:pPr>
              <w:jc w:val="center"/>
            </w:pPr>
            <w:r>
              <w:t>约37%</w:t>
            </w:r>
          </w:p>
        </w:tc>
        <w:tc>
          <w:tcPr>
            <w:tcW w:type="dxa" w:w="1881"/>
          </w:tcPr>
          <w:p>
            <w:pPr>
              <w:jc w:val="center"/>
            </w:pPr>
            <w:r>
              <w:t>约40%</w:t>
            </w:r>
          </w:p>
        </w:tc>
      </w:tr>
      <w:tr>
        <w:tc>
          <w:tcPr>
            <w:tcW w:type="dxa" w:w="1881"/>
            <w:shd w:fill="EBF5FB" w:val="clear"/>
          </w:tcPr>
          <w:p>
            <w:pPr>
              <w:jc w:val="left"/>
            </w:pPr>
            <w:r>
              <w:t>调整后EBITDA</w:t>
            </w:r>
          </w:p>
        </w:tc>
        <w:tc>
          <w:tcPr>
            <w:tcW w:type="dxa" w:w="1881"/>
            <w:shd w:fill="EBF5FB" w:val="clear"/>
          </w:tcPr>
          <w:p>
            <w:pPr>
              <w:jc w:val="center"/>
            </w:pPr>
            <w:r>
              <w:t>亏损约9.1亿</w:t>
            </w:r>
          </w:p>
        </w:tc>
        <w:tc>
          <w:tcPr>
            <w:tcW w:type="dxa" w:w="1881"/>
            <w:shd w:fill="EBF5FB" w:val="clear"/>
          </w:tcPr>
          <w:p>
            <w:pPr>
              <w:jc w:val="center"/>
            </w:pPr>
            <w:r>
              <w:t>亏损约1.06亿</w:t>
            </w:r>
          </w:p>
        </w:tc>
        <w:tc>
          <w:tcPr>
            <w:tcW w:type="dxa" w:w="1881"/>
            <w:shd w:fill="EBF5FB" w:val="clear"/>
          </w:tcPr>
          <w:p>
            <w:pPr>
              <w:jc w:val="center"/>
            </w:pPr>
            <w:r>
              <w:t>约盈亏平衡</w:t>
            </w:r>
          </w:p>
        </w:tc>
        <w:tc>
          <w:tcPr>
            <w:tcW w:type="dxa" w:w="1881"/>
            <w:shd w:fill="EBF5FB" w:val="clear"/>
          </w:tcPr>
          <w:p>
            <w:pPr>
              <w:jc w:val="center"/>
            </w:pPr>
            <w:r>
              <w:t>转为正值</w:t>
            </w:r>
          </w:p>
        </w:tc>
      </w:tr>
      <w:tr>
        <w:tc>
          <w:tcPr>
            <w:tcW w:type="dxa" w:w="1881"/>
          </w:tcPr>
          <w:p>
            <w:pPr>
              <w:jc w:val="left"/>
            </w:pPr>
            <w:r>
              <w:t>Electron发射次数</w:t>
            </w:r>
          </w:p>
        </w:tc>
        <w:tc>
          <w:tcPr>
            <w:tcW w:type="dxa" w:w="1881"/>
          </w:tcPr>
          <w:p>
            <w:pPr>
              <w:jc w:val="center"/>
            </w:pPr>
            <w:r>
              <w:t>16次</w:t>
            </w:r>
          </w:p>
        </w:tc>
        <w:tc>
          <w:tcPr>
            <w:tcW w:type="dxa" w:w="1881"/>
          </w:tcPr>
          <w:p>
            <w:pPr>
              <w:jc w:val="center"/>
            </w:pPr>
            <w:r>
              <w:t>21次</w:t>
            </w:r>
          </w:p>
        </w:tc>
        <w:tc>
          <w:tcPr>
            <w:tcW w:type="dxa" w:w="1881"/>
          </w:tcPr>
          <w:p>
            <w:pPr>
              <w:jc w:val="center"/>
            </w:pPr>
            <w:r>
              <w:t>约24–26次</w:t>
            </w:r>
          </w:p>
        </w:tc>
        <w:tc>
          <w:tcPr>
            <w:tcW w:type="dxa" w:w="1881"/>
          </w:tcPr>
          <w:p>
            <w:pPr>
              <w:jc w:val="center"/>
            </w:pPr>
            <w:r>
              <w:t>约28–32次</w:t>
            </w:r>
          </w:p>
        </w:tc>
      </w:tr>
    </w:tbl>
    <w:p>
      <w:pPr>
        <w:spacing w:before="280" w:after="80"/>
        <w:jc w:val="left"/>
        <w:pBdr>
          <w:bottom w:val="single" w:sz="6" w:space="4" w:color="1B3A6B"/>
        </w:pBdr>
      </w:pPr>
      <w:r>
        <w:rPr>
          <w:rFonts w:eastAsia="黑体"/>
          <w:b/>
          <w:color w:val="1B3A6B"/>
          <w:sz w:val="21"/>
        </w:rPr>
        <w:t>估值框架</w:t>
      </w:r>
    </w:p>
    <w:p>
      <w:pPr>
        <w:spacing w:after="80"/>
      </w:pPr>
      <w:r>
        <w:rPr>
          <w:rFonts w:eastAsia="宋体"/>
          <w:b w:val="0"/>
          <w:i w:val="0"/>
          <w:sz w:val="20"/>
        </w:rPr>
        <w:t>按报告生成时的实时股价$70.03（通过yfinance获取）计算，火箭实验室以约6.5–7.0倍EV/2026年预测营收交易，对于一家毛利率改善轨迹清晰的高成长垂直整合航天基础设施公司而言，该溢价倍数具备合理性。鉴于公司仍处于亏损阶段，我们采用EV/营收为主要估值方法。</w:t>
      </w:r>
    </w:p>
    <w:p>
      <w:pPr>
        <w:spacing w:after="80"/>
      </w:pPr>
      <w:r>
        <w:rPr>
          <w:rFonts w:eastAsia="宋体"/>
          <w:b w:val="0"/>
          <w:i w:val="0"/>
          <w:sz w:val="20"/>
        </w:rPr>
        <w:t>我们的12个月目标价35美元基于8.0倍EV/2026年预测营收（8.85亿美元）扣减净债务得出，较当前股价隐含约50%的上涨空间。相对于纯发射服务商，我们给予溢价倍数，原因在于RKLB的成熟执行能力、多元化营收结构及独特的主承包商竞争力。</w:t>
      </w:r>
    </w:p>
    <w:p>
      <w:pPr>
        <w:spacing w:before="280" w:after="80"/>
        <w:jc w:val="left"/>
        <w:pBdr>
          <w:bottom w:val="single" w:sz="6" w:space="4" w:color="1B3A6B"/>
        </w:pBdr>
      </w:pPr>
      <w:r>
        <w:rPr>
          <w:rFonts w:eastAsia="黑体"/>
          <w:b/>
          <w:color w:val="1B3A6B"/>
          <w:sz w:val="21"/>
        </w:rPr>
        <w:t>情景分析</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6B" w:val="clear"/>
          </w:tcPr>
          <w:p>
            <w:pPr>
              <w:jc w:val="left"/>
            </w:pPr>
            <w:r>
              <w:rPr>
                <w:b/>
                <w:color w:val="FFFFFF"/>
                <w:sz w:val="18"/>
              </w:rPr>
              <w:t>情景</w:t>
            </w:r>
          </w:p>
        </w:tc>
        <w:tc>
          <w:tcPr>
            <w:tcW w:type="dxa" w:w="1881"/>
            <w:shd w:fill="1B3A6B" w:val="clear"/>
          </w:tcPr>
          <w:p>
            <w:pPr>
              <w:jc w:val="center"/>
            </w:pPr>
            <w:r>
              <w:rPr>
                <w:b/>
                <w:color w:val="FFFFFF"/>
                <w:sz w:val="18"/>
              </w:rPr>
              <w:t>估值倍数</w:t>
            </w:r>
          </w:p>
        </w:tc>
        <w:tc>
          <w:tcPr>
            <w:tcW w:type="dxa" w:w="1881"/>
            <w:shd w:fill="1B3A6B" w:val="clear"/>
          </w:tcPr>
          <w:p>
            <w:pPr>
              <w:jc w:val="center"/>
            </w:pPr>
            <w:r>
              <w:rPr>
                <w:b/>
                <w:color w:val="FFFFFF"/>
                <w:sz w:val="18"/>
              </w:rPr>
              <w:t>2026年预测营收</w:t>
            </w:r>
          </w:p>
        </w:tc>
        <w:tc>
          <w:tcPr>
            <w:tcW w:type="dxa" w:w="1881"/>
            <w:shd w:fill="1B3A6B" w:val="clear"/>
          </w:tcPr>
          <w:p>
            <w:pPr>
              <w:jc w:val="center"/>
            </w:pPr>
            <w:r>
              <w:rPr>
                <w:b/>
                <w:color w:val="FFFFFF"/>
                <w:sz w:val="18"/>
              </w:rPr>
              <w:t>隐含目标价</w:t>
            </w:r>
          </w:p>
        </w:tc>
        <w:tc>
          <w:tcPr>
            <w:tcW w:type="dxa" w:w="1881"/>
            <w:shd w:fill="1B3A6B" w:val="clear"/>
          </w:tcPr>
          <w:p>
            <w:pPr>
              <w:jc w:val="center"/>
            </w:pPr>
            <w:r>
              <w:rPr>
                <w:b/>
                <w:color w:val="FFFFFF"/>
                <w:sz w:val="18"/>
              </w:rPr>
              <w:t>潜在涨跌幅</w:t>
            </w:r>
          </w:p>
        </w:tc>
      </w:tr>
      <w:tr>
        <w:tc>
          <w:tcPr>
            <w:tcW w:type="dxa" w:w="1881"/>
            <w:shd w:fill="FDFEFE" w:val="clear"/>
          </w:tcPr>
          <w:p>
            <w:pPr>
              <w:jc w:val="left"/>
            </w:pPr>
            <w:r>
              <w:t>悲观</w:t>
            </w:r>
          </w:p>
        </w:tc>
        <w:tc>
          <w:tcPr>
            <w:tcW w:type="dxa" w:w="1881"/>
            <w:shd w:fill="FDFEFE" w:val="clear"/>
          </w:tcPr>
          <w:p>
            <w:pPr>
              <w:jc w:val="center"/>
            </w:pPr>
            <w:r>
              <w:t>5.0x EV/营收</w:t>
            </w:r>
          </w:p>
        </w:tc>
        <w:tc>
          <w:tcPr>
            <w:tcW w:type="dxa" w:w="1881"/>
            <w:shd w:fill="FDFEFE" w:val="clear"/>
          </w:tcPr>
          <w:p>
            <w:pPr>
              <w:jc w:val="center"/>
            </w:pPr>
            <w:r>
              <w:t>8.1亿美元</w:t>
            </w:r>
          </w:p>
        </w:tc>
        <w:tc>
          <w:tcPr>
            <w:tcW w:type="dxa" w:w="1881"/>
            <w:shd w:fill="FDFEFE" w:val="clear"/>
          </w:tcPr>
          <w:p>
            <w:pPr>
              <w:jc w:val="center"/>
            </w:pPr>
            <w:r>
              <w:t>约22美元</w:t>
            </w:r>
          </w:p>
        </w:tc>
        <w:tc>
          <w:tcPr>
            <w:tcW w:type="dxa" w:w="1881"/>
            <w:shd w:fill="FDFEFE" w:val="clear"/>
          </w:tcPr>
          <w:p>
            <w:pPr>
              <w:jc w:val="center"/>
            </w:pPr>
            <w:r>
              <w:t>约-10%</w:t>
            </w:r>
          </w:p>
        </w:tc>
      </w:tr>
      <w:tr>
        <w:tc>
          <w:tcPr>
            <w:tcW w:type="dxa" w:w="1881"/>
            <w:shd w:fill="EBF5FB" w:val="clear"/>
          </w:tcPr>
          <w:p>
            <w:pPr>
              <w:jc w:val="left"/>
            </w:pPr>
            <w:r>
              <w:t>基准</w:t>
            </w:r>
          </w:p>
        </w:tc>
        <w:tc>
          <w:tcPr>
            <w:tcW w:type="dxa" w:w="1881"/>
            <w:shd w:fill="EBF5FB" w:val="clear"/>
          </w:tcPr>
          <w:p>
            <w:pPr>
              <w:jc w:val="center"/>
            </w:pPr>
            <w:r>
              <w:t>8.0x EV/营收</w:t>
            </w:r>
          </w:p>
        </w:tc>
        <w:tc>
          <w:tcPr>
            <w:tcW w:type="dxa" w:w="1881"/>
            <w:shd w:fill="EBF5FB" w:val="clear"/>
          </w:tcPr>
          <w:p>
            <w:pPr>
              <w:jc w:val="center"/>
            </w:pPr>
            <w:r>
              <w:t>8.85亿美元</w:t>
            </w:r>
          </w:p>
        </w:tc>
        <w:tc>
          <w:tcPr>
            <w:tcW w:type="dxa" w:w="1881"/>
            <w:shd w:fill="EBF5FB" w:val="clear"/>
          </w:tcPr>
          <w:p>
            <w:pPr>
              <w:jc w:val="center"/>
            </w:pPr>
            <w:r>
              <w:t>约35美元</w:t>
            </w:r>
          </w:p>
        </w:tc>
        <w:tc>
          <w:tcPr>
            <w:tcW w:type="dxa" w:w="1881"/>
            <w:shd w:fill="EBF5FB" w:val="clear"/>
          </w:tcPr>
          <w:p>
            <w:pPr>
              <w:jc w:val="center"/>
            </w:pPr>
            <w:r>
              <w:t>约+50%</w:t>
            </w:r>
          </w:p>
        </w:tc>
      </w:tr>
      <w:tr>
        <w:tc>
          <w:tcPr>
            <w:tcW w:type="dxa" w:w="1881"/>
            <w:shd w:fill="D5F5E3" w:val="clear"/>
          </w:tcPr>
          <w:p>
            <w:pPr>
              <w:jc w:val="left"/>
            </w:pPr>
            <w:r>
              <w:t>乐观</w:t>
            </w:r>
          </w:p>
        </w:tc>
        <w:tc>
          <w:tcPr>
            <w:tcW w:type="dxa" w:w="1881"/>
            <w:shd w:fill="D5F5E3" w:val="clear"/>
          </w:tcPr>
          <w:p>
            <w:pPr>
              <w:jc w:val="center"/>
            </w:pPr>
            <w:r>
              <w:t>11.0x EV/营收</w:t>
            </w:r>
          </w:p>
        </w:tc>
        <w:tc>
          <w:tcPr>
            <w:tcW w:type="dxa" w:w="1881"/>
            <w:shd w:fill="D5F5E3" w:val="clear"/>
          </w:tcPr>
          <w:p>
            <w:pPr>
              <w:jc w:val="center"/>
            </w:pPr>
            <w:r>
              <w:t>9.5亿美元</w:t>
            </w:r>
          </w:p>
        </w:tc>
        <w:tc>
          <w:tcPr>
            <w:tcW w:type="dxa" w:w="1881"/>
            <w:shd w:fill="D5F5E3" w:val="clear"/>
          </w:tcPr>
          <w:p>
            <w:pPr>
              <w:jc w:val="center"/>
            </w:pPr>
            <w:r>
              <w:t>约50美元</w:t>
            </w:r>
          </w:p>
        </w:tc>
        <w:tc>
          <w:tcPr>
            <w:tcW w:type="dxa" w:w="1881"/>
            <w:shd w:fill="D5F5E3" w:val="clear"/>
          </w:tcPr>
          <w:p>
            <w:pPr>
              <w:jc w:val="center"/>
            </w:pPr>
            <w:r>
              <w:t>约+115%</w:t>
            </w:r>
          </w:p>
        </w:tc>
      </w:tr>
    </w:tbl>
    <w:p/>
    <w:p>
      <w:pPr>
        <w:jc w:val="center"/>
      </w:pPr>
      <w:r>
        <w:rPr>
          <w:rFonts w:eastAsia="黑体"/>
          <w:b/>
          <w:color w:val="27AE60"/>
          <w:sz w:val="22"/>
        </w:rPr>
        <w:t xml:space="preserve">  维持【买入】评级  |  目标价：35美元  </w:t>
      </w:r>
    </w:p>
    <w:p>
      <w:pPr>
        <w:spacing w:after="80"/>
      </w:pPr>
      <w:r>
        <w:rPr>
          <w:rFonts w:eastAsia="宋体"/>
          <w:b w:val="0"/>
          <w:i w:val="0"/>
          <w:sz w:val="20"/>
        </w:rPr>
        <w:t>2025年第四季度业绩有力证明火箭实验室的核心业务——Electron发射服务与航天系统——正在高水平执行。毛利率持续扩张、在手订单创历史新高、EBITDA超指引，均强化了公司业务质量。Neutron延期是一个重大负面因素，但市场已有一定程度的折价消化。我们维持买入评级，目标价35美元，隐含约50%的上涨空间。</w:t>
      </w:r>
    </w:p>
    <w:p>
      <w:r>
        <w:br w:type="page"/>
      </w:r>
    </w:p>
    <w:p>
      <w:pPr>
        <w:spacing w:before="280" w:after="80"/>
        <w:jc w:val="left"/>
        <w:pBdr>
          <w:bottom w:val="single" w:sz="6" w:space="4" w:color="1B3A6B"/>
        </w:pBdr>
      </w:pPr>
      <w:r>
        <w:rPr>
          <w:rFonts w:eastAsia="黑体"/>
          <w:b/>
          <w:color w:val="1B3A6B"/>
          <w:sz w:val="24"/>
        </w:rPr>
        <w:t>资料来源</w:t>
      </w:r>
    </w:p>
    <w:p>
      <w:pPr>
        <w:pStyle w:val="ListBullet"/>
        <w:spacing w:after="60"/>
        <w:ind w:left="360"/>
      </w:pPr>
      <w:hyperlink r:id="rId19">
        <w:r>
          <w:rPr>
            <w:color w:val="4A90D9"/>
            <w:u w:val="single"/>
          </w:rPr>
          <w:t>火箭实验室2025年第四季度及全年业绩公告（2026年2月26日）</w:t>
        </w:r>
      </w:hyperlink>
    </w:p>
    <w:p>
      <w:pPr>
        <w:pStyle w:val="ListBullet"/>
        <w:spacing w:after="60"/>
        <w:ind w:left="360"/>
      </w:pPr>
      <w:hyperlink r:id="rId20">
        <w:r>
          <w:rPr>
            <w:color w:val="4A90D9"/>
            <w:u w:val="single"/>
          </w:rPr>
          <w:t>火箭实验室Q4 2025电话会议记录（Motley Fool）</w:t>
        </w:r>
      </w:hyperlink>
    </w:p>
    <w:p>
      <w:pPr>
        <w:pStyle w:val="ListBullet"/>
        <w:spacing w:after="60"/>
        <w:ind w:left="360"/>
      </w:pPr>
      <w:hyperlink r:id="rId21">
        <w:r>
          <w:rPr>
            <w:color w:val="4A90D9"/>
            <w:u w:val="single"/>
          </w:rPr>
          <w:t>火箭实验室Q4 2025电话会议记录（Seeking Alpha）</w:t>
        </w:r>
      </w:hyperlink>
    </w:p>
    <w:p>
      <w:pPr>
        <w:pStyle w:val="ListBullet"/>
        <w:spacing w:after="60"/>
        <w:ind w:left="360"/>
      </w:pPr>
      <w:hyperlink r:id="rId22">
        <w:r>
          <w:rPr>
            <w:color w:val="4A90D9"/>
            <w:u w:val="single"/>
          </w:rPr>
          <w:t>火箭实验室Q4 2025业绩亮点（Yahoo Finance）</w:t>
        </w:r>
      </w:hyperlink>
    </w:p>
    <w:p>
      <w:pPr>
        <w:pStyle w:val="ListBullet"/>
        <w:spacing w:after="60"/>
        <w:ind w:left="360"/>
      </w:pPr>
      <w:hyperlink r:id="rId23">
        <w:r>
          <w:rPr>
            <w:color w:val="4A90D9"/>
            <w:u w:val="single"/>
          </w:rPr>
          <w:t>火箭实验室营收历史数据（MacroTrends）</w:t>
        </w:r>
      </w:hyperlink>
    </w:p>
    <w:p>
      <w:pPr>
        <w:pStyle w:val="ListBullet"/>
        <w:spacing w:after="60"/>
        <w:ind w:left="360"/>
      </w:pPr>
      <w:hyperlink r:id="rId24">
        <w:r>
          <w:rPr>
            <w:color w:val="4A90D9"/>
            <w:u w:val="single"/>
          </w:rPr>
          <w:t>市场数据：yfinance实时获取（报告生成时间）</w:t>
        </w:r>
      </w:hyperlink>
    </w:p>
    <w:p/>
    <w:p>
      <w:pPr>
        <w:spacing w:after="80"/>
      </w:pPr>
      <w:r>
        <w:rPr>
          <w:rFonts w:eastAsia="宋体"/>
          <w:b w:val="0"/>
          <w:i/>
          <w:color w:val="8C8C8C"/>
          <w:sz w:val="17"/>
        </w:rPr>
        <w:t>分析师一致预期：Bloomberg / FactSet，截至2026年2月。标注'预测'的数据为分析师一致预期。目标价及评级为分析师独立判断，可能与市场一致预期存在差异。</w:t>
      </w:r>
    </w:p>
    <w:p>
      <w:pPr>
        <w:spacing w:after="80"/>
      </w:pPr>
      <w:r>
        <w:rPr>
          <w:rFonts w:eastAsia="宋体"/>
          <w:b w:val="0"/>
          <w:i/>
          <w:color w:val="8C8C8C"/>
          <w:sz w:val="17"/>
        </w:rPr>
        <w:t>免责声明：本报告仅供参考，不构成投资建议。历史业绩不代表未来表现。</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globenewswire.com/news-release/2026/02/26/3246099/0/en/Rocket-Lab-Announces-Fourth-Quarter-and-Full-Year-2025-Financial-Results-Posts-Record-Quarterly-Revenue-of-180M-Record-Annual-Revenue-of-602M-Delivering-Annual-Growth-of-38-and-Gro.html" TargetMode="External"/><Relationship Id="rId20" Type="http://schemas.openxmlformats.org/officeDocument/2006/relationships/hyperlink" Target="https://www.fool.com/earnings/call-transcripts/2026/02/26/rocket-lab-rklb-q4-2025-earnings-call-transcript/" TargetMode="External"/><Relationship Id="rId21" Type="http://schemas.openxmlformats.org/officeDocument/2006/relationships/hyperlink" Target="https://seekingalpha.com/article/4875957-rocket-lab-corporation-rklb-q4-2025-earnings-call-transcript" TargetMode="External"/><Relationship Id="rId22" Type="http://schemas.openxmlformats.org/officeDocument/2006/relationships/hyperlink" Target="https://finance.yahoo.com/news/rocket-lab-corp-rklb-q4-050040692.html" TargetMode="External"/><Relationship Id="rId23" Type="http://schemas.openxmlformats.org/officeDocument/2006/relationships/hyperlink" Target="https://www.macrotrends.net/stocks/charts/RKLB/rocket-lab/revenue" TargetMode="External"/><Relationship Id="rId24" Type="http://schemas.openxmlformats.org/officeDocument/2006/relationships/hyperlink" Target="https://finance.yahoo.com/quote/RKL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