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/>
          <w:b/>
          <w:color w:val="444444"/>
          <w:sz w:val="18"/>
        </w:rPr>
        <w:t>股票研究  |  半导体行业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03366"/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8"/>
              </w:rPr>
              <w:t>评级：跑赢大市</w:t>
            </w:r>
          </w:p>
        </w:tc>
        <w:tc>
          <w:tcPr>
            <w:tcW w:type="dxa" w:w="3173"/>
            <w:shd w:val="clear" w:color="auto" w:fill="003366"/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8"/>
              </w:rPr>
              <w:t>目标价：港币 38.00 元</w:t>
            </w:r>
          </w:p>
        </w:tc>
        <w:tc>
          <w:tcPr>
            <w:tcW w:type="dxa" w:w="3173"/>
            <w:shd w:val="clear" w:color="auto" w:fill="003366"/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8"/>
              </w:rPr>
              <w:t>报告日期：2026年3月16日</w:t>
            </w:r>
          </w:p>
        </w:tc>
      </w:tr>
    </w:tbl>
    <w:p/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30"/>
        </w:rPr>
        <w:t>中芯国际集成电路制造有限公司（SMIC）</w:t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66CC"/>
          <w:sz w:val="26"/>
        </w:rPr>
        <w:t>2025年第四季度业绩更新：营收超预期，折旧压力致毛利率承压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80"/>
      </w:pPr>
      <w:r>
        <w:rPr>
          <w:rFonts w:ascii="黑体" w:hAnsi="黑体"/>
          <w:b/>
          <w:color w:val="003366"/>
          <w:sz w:val="18"/>
        </w:rPr>
        <w:t>股票代码：</w:t>
      </w:r>
      <w:r>
        <w:rPr>
          <w:rFonts w:ascii="宋体" w:hAnsi="宋体"/>
          <w:color w:val="444444"/>
          <w:sz w:val="18"/>
        </w:rPr>
        <w:t xml:space="preserve">0981.HK / 688981.SS  </w:t>
      </w:r>
      <w:r>
        <w:rPr>
          <w:rFonts w:ascii="黑体" w:hAnsi="黑体"/>
          <w:b/>
          <w:color w:val="003366"/>
          <w:sz w:val="18"/>
        </w:rPr>
        <w:t>行业：</w:t>
      </w:r>
      <w:r>
        <w:rPr>
          <w:rFonts w:ascii="宋体" w:hAnsi="宋体"/>
          <w:color w:val="444444"/>
          <w:sz w:val="18"/>
        </w:rPr>
        <w:t xml:space="preserve">半导体晶圆代工  </w:t>
      </w:r>
      <w:r>
        <w:rPr>
          <w:rFonts w:ascii="黑体" w:hAnsi="黑体"/>
          <w:b/>
          <w:color w:val="003366"/>
          <w:sz w:val="18"/>
        </w:rPr>
        <w:t>当前股价：</w:t>
      </w:r>
      <w:r>
        <w:rPr>
          <w:rFonts w:ascii="宋体" w:hAnsi="宋体"/>
          <w:color w:val="444444"/>
          <w:sz w:val="18"/>
        </w:rPr>
        <w:t xml:space="preserve">港币 28.40 元（2026年3月14日）  </w:t>
      </w:r>
      <w:r>
        <w:rPr>
          <w:rFonts w:ascii="黑体" w:hAnsi="黑体"/>
          <w:b/>
          <w:color w:val="003366"/>
          <w:sz w:val="18"/>
        </w:rPr>
        <w:t>52周区间：</w:t>
      </w:r>
      <w:r>
        <w:rPr>
          <w:rFonts w:ascii="宋体" w:hAnsi="宋体"/>
          <w:color w:val="444444"/>
          <w:sz w:val="18"/>
        </w:rPr>
        <w:t>港币 17.82 – 42.80 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BF0F8"/>
          </w:tcPr>
          <w:p>
            <w:r>
              <w:rPr>
                <w:rFonts w:eastAsia="黑体"/>
                <w:rFonts w:ascii="黑体" w:hAnsi="黑体"/>
                <w:b/>
                <w:color w:val="003366"/>
                <w:sz w:val="22"/>
              </w:rPr>
              <w:t>核心结论</w:t>
            </w:r>
          </w:p>
          <w:p/>
          <w:p>
            <w:pPr>
              <w:spacing w:before="20" w:after="20"/>
              <w:ind w:left="144"/>
            </w:pPr>
            <w:r>
              <w:rPr>
                <w:rFonts w:eastAsia="宋体"/>
                <w:rFonts w:ascii="宋体" w:hAnsi="宋体"/>
                <w:color w:val="444444"/>
                <w:sz w:val="19"/>
              </w:rPr>
              <w:t>• 营收超预期：2025Q4营收24.89亿美元（同比+12.8%，环比+4.5%），超彭博市场一致预期约24.20亿美元的2.8%。全年2025年营收创历史新高，达93.27亿美元（同比+16.2%）。</w:t>
            </w:r>
          </w:p>
          <w:p>
            <w:pPr>
              <w:spacing w:before="20" w:after="20"/>
              <w:ind w:left="144"/>
            </w:pPr>
            <w:r>
              <w:rPr>
                <w:rFonts w:eastAsia="宋体"/>
                <w:rFonts w:ascii="宋体" w:hAnsi="宋体"/>
                <w:color w:val="444444"/>
                <w:sz w:val="19"/>
              </w:rPr>
              <w:t>• 毛利率低于预期：Q4毛利率降至19.2%（较Q3的22.0%下降2.8个百分点），低于市场一致预期20.9%。主因为新投产12英寸产能进入折旧周期，折旧费用同比预计增约30%，属周期性而非结构性问题。</w:t>
            </w:r>
          </w:p>
          <w:p>
            <w:pPr>
              <w:spacing w:before="20" w:after="20"/>
              <w:ind w:left="144"/>
            </w:pPr>
            <w:r>
              <w:rPr>
                <w:rFonts w:eastAsia="宋体"/>
                <w:rFonts w:ascii="宋体" w:hAnsi="宋体"/>
                <w:color w:val="444444"/>
                <w:sz w:val="19"/>
              </w:rPr>
              <w:t>• 净利润大幅增长：Q4归母净利润1.7285亿美元（+60.7% YoY），小幅超过LSEG一致预期1.703亿美元，体现了较强的经营杠杆效应。</w:t>
            </w:r>
          </w:p>
          <w:p>
            <w:pPr>
              <w:spacing w:before="20" w:after="20"/>
              <w:ind w:left="144"/>
            </w:pPr>
            <w:r>
              <w:rPr>
                <w:rFonts w:eastAsia="宋体"/>
                <w:rFonts w:ascii="宋体" w:hAnsi="宋体"/>
                <w:color w:val="444444"/>
                <w:sz w:val="19"/>
              </w:rPr>
              <w:t>• 2026Q1指引符合预期：营收指引环比持平（约24.89亿美元）；毛利率指引18%–20%，略低于市场此前预期的约20.9%，主要反映消费电子旺季退去后的季节性走弱。</w:t>
            </w:r>
          </w:p>
          <w:p>
            <w:pPr>
              <w:spacing w:before="20" w:after="20"/>
              <w:ind w:left="144"/>
            </w:pPr>
            <w:r>
              <w:rPr>
                <w:rFonts w:eastAsia="宋体"/>
                <w:rFonts w:ascii="宋体" w:hAnsi="宋体"/>
                <w:color w:val="444444"/>
                <w:sz w:val="19"/>
              </w:rPr>
              <w:t>• 投资逻辑不变：折旧压力为阶段性，7nm良率已提升至60-70%，Q4产能利用率达95.7%，需求旺盛。维持【跑赢大市】评级。</w:t>
            </w:r>
          </w:p>
        </w:tc>
      </w:tr>
    </w:tbl>
    <w:p/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2"/>
        </w:rPr>
        <w:t>财务数据摘要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2024Q4实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2025Q3实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2025Q4实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环比变动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同比变动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市场预期</w:t>
            </w:r>
          </w:p>
        </w:tc>
        <w:tc>
          <w:tcPr>
            <w:tcW w:type="dxa" w:w="1190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与预期对比</w:t>
            </w:r>
          </w:p>
        </w:tc>
      </w:tr>
      <w:tr>
        <w:tc>
          <w:tcPr>
            <w:tcW w:type="dxa" w:w="1190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营收（百万美元）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2,207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2,382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2,489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+4.5%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+12.8%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~2,420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1A6B3A"/>
                <w:sz w:val="17"/>
              </w:rPr>
              <w:t>超预期+2.8%</w:t>
            </w:r>
          </w:p>
        </w:tc>
      </w:tr>
      <w:tr>
        <w:tc>
          <w:tcPr>
            <w:tcW w:type="dxa" w:w="1190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毛利率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22.6%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22.0%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19.2%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-2.8pp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-3.4pp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20.9%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CC0000"/>
                <w:sz w:val="17"/>
              </w:rPr>
              <w:t>低于预期</w:t>
            </w:r>
          </w:p>
        </w:tc>
      </w:tr>
      <w:tr>
        <w:tc>
          <w:tcPr>
            <w:tcW w:type="dxa" w:w="1190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归母净利润（百万美元）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107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192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173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-9.9%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+60.7%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170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1A6B3A"/>
                <w:sz w:val="17"/>
              </w:rPr>
              <w:t>超预期+1.7%</w:t>
            </w:r>
          </w:p>
        </w:tc>
      </w:tr>
      <w:tr>
        <w:tc>
          <w:tcPr>
            <w:tcW w:type="dxa" w:w="1190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每股盈利（美元）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0.010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0.018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0.016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-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+60%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0.016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符合预期</w:t>
            </w:r>
          </w:p>
        </w:tc>
      </w:tr>
      <w:tr>
        <w:tc>
          <w:tcPr>
            <w:tcW w:type="dxa" w:w="1190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EBITDA（百万美元）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~1,100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~1,300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1,405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+8.1%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+27.7%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~1,380</w:t>
            </w:r>
          </w:p>
        </w:tc>
        <w:tc>
          <w:tcPr>
            <w:tcW w:type="dxa" w:w="1190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1A6B3A"/>
                <w:sz w:val="17"/>
              </w:rPr>
              <w:t>超预期+1.8%</w:t>
            </w:r>
          </w:p>
        </w:tc>
      </w:tr>
      <w:tr>
        <w:tc>
          <w:tcPr>
            <w:tcW w:type="dxa" w:w="1190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产能利用率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86.3%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90.1%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95.7%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+5.6pp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+9.4pp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-</w:t>
            </w:r>
          </w:p>
        </w:tc>
        <w:tc>
          <w:tcPr>
            <w:tcW w:type="dxa" w:w="119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-</w:t>
            </w:r>
          </w:p>
        </w:tc>
      </w:tr>
    </w:tbl>
    <w:p>
      <w:pPr>
        <w:spacing w:before="40" w:after="80"/>
      </w:pPr>
      <w:r>
        <w:rPr>
          <w:rFonts w:ascii="宋体" w:hAnsi="宋体"/>
          <w:i/>
          <w:color w:val="444444"/>
          <w:sz w:val="15"/>
        </w:rPr>
        <w:t>资料来源：中芯国际2025Q4业绩公告（2026年2月10日）；彭博一致预期；LSEG（2026年2月10日）</w:t>
      </w:r>
    </w:p>
    <w:p>
      <w:r>
        <w:br w:type="page"/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8"/>
        </w:rPr>
        <w:t>详细业绩分析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一、营收表现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中芯国际2025Q4营收24.89亿美元，创单季历史新高，超彭博一致预期24.20亿美元约2.8%，同比增长12.8%，环比增长4.5%。全年2025年营收93.27亿美元，较2024年80.28亿美元增长16.2%。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出货量与售价双双贡献超预期表现。Q4晶圆出货量（按8英寸当量折算）环比仅增长约0.6%，但平均销售价格（ASP）环比提升3.8%，反映12英寸晶圆在产品结构中占比提升。受益于华为麒麟芯片及AI加速器需求拉动，12英寸高ASP产品占比持续扩大，是本季营收超预期的主要驱动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1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图1：中芯国际季度营收趋势（百万美元）| 资料来源：中芯国际各季度业绩公告</w:t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二、下游应用市场拆分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2025Q4消费电子仍是最大下游市场，占营收47%（Q3为43%），受益于IoT设备、机顶盒及可穿戴产品季节性旺季备货。智能手机收入占比降至20%，反映手机终端需求趋于平稳。境内客户营收占比约90%，较Q3的约88%进一步提升，体现中芯国际在国内半导体自主可控产业链中的核心地位持续强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47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5_end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4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图2：2025Q4下游应用市场收入占比 | 资料来源：中芯国际2025Q4业绩说明会（2026年2月10日）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457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6_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5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图3：2025Q4收入地区分布 | 资料来源：中芯国际2025Q4业绩公告</w:t>
      </w:r>
    </w:p>
    <w:p>
      <w:r>
        <w:br w:type="page"/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三、毛利率分析——折旧压力剖析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2025Q4毛利率降至19.2%，较Q3的22.0%下滑2.8个百分点，低于市场一致预期20.9%。管理层在业绩说明会上明确表示：此次毛利率下滑几乎完全由新增产能进入折旧周期所致，并非需求疲软或定价压力。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据管理层在说明会上的分析：H2 2025年新投产的晶圆厂于Q4进入首个完整折旧季度，合计对毛利率造成约-4.2个百分点的拖累。出货量增加和ASP提升合计贡献正向约+1.4个百分点的对冲效应。预计2026年全年折旧费用同比增加约30%，折旧压力将贯穿全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23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7_margin_bri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图4：毛利率拆解桥接图 Q3'25 → Q4'25 | 资料来源：中芯国际2025Q4业绩说明会（2026年2月10日）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2_gross_mar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图5：季度毛利率走势 | 资料来源：中芯国际历季业绩公告</w:t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四、净利润与盈利能力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尽管毛利率承压，2025Q4归母净利润达1.7285亿美元（约12.23亿人民币），同比+60.7%，略超LSEG一致预期1.703亿美元。净利润大幅增长主要源于2024Q4低基数效应（彼时净利润仅约1.07亿美元）以及更高出货量带来的营运杠杆效应。全年2025年归母净利润约6.66亿美元（约50.41亿人民币），同比+36.3%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3_net_inc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图6：季度归母净利润走势（百万美元）| 资料来源：中芯国际历季业绩公告</w:t>
      </w:r>
    </w:p>
    <w:p>
      <w:r>
        <w:br w:type="page"/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8"/>
        </w:rPr>
        <w:t>关键指标与2026年一季度业绩指引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五、产能利用率与扩产进展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2025Q4产能利用率达95.7%，为近两年最高水平，充分验证了旺盛的市场需求可以有效吸收公司持续投入的新增产能。2025年末月产能（按8英寸当量）约达106万片/月，较2024年末约95万片/月净增约11.1万片/月。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就2026年产能规划，管理层指引全年资本支出【基本持平】2025年约65亿美元，预计2026年末月产能较2025年末再增约4万片12英寸当量/月，北京和天津新厂将于全年陆续爬产。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8_util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图7：产能利用率（%）与月产能走势 | 资料来源：中芯国际历季业绩公告及公司文件</w:t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六、2026年一季度指引与市场预期对比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2025Q4实际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2026Q1指引（管理层）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2026Q1预期（市场）</w:t>
            </w:r>
          </w:p>
        </w:tc>
        <w:tc>
          <w:tcPr>
            <w:tcW w:type="dxa" w:w="1904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与市场预期对比</w:t>
            </w:r>
          </w:p>
        </w:tc>
      </w:tr>
      <w:tr>
        <w:tc>
          <w:tcPr>
            <w:tcW w:type="dxa" w:w="1904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营收（百万美元）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2,489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~2,489（环比持平）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~2,520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CC0000"/>
                <w:sz w:val="17"/>
              </w:rPr>
              <w:t>略低于预期</w:t>
            </w:r>
          </w:p>
        </w:tc>
      </w:tr>
      <w:tr>
        <w:tc>
          <w:tcPr>
            <w:tcW w:type="dxa" w:w="1904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毛利率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19.2%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18% – 20%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~20.9%</w:t>
            </w:r>
          </w:p>
        </w:tc>
        <w:tc>
          <w:tcPr>
            <w:tcW w:type="dxa" w:w="190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CC0000"/>
                <w:sz w:val="17"/>
              </w:rPr>
              <w:t>低于区间中值</w:t>
            </w:r>
          </w:p>
        </w:tc>
      </w:tr>
      <w:tr>
        <w:tc>
          <w:tcPr>
            <w:tcW w:type="dxa" w:w="1904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资本支出（十亿美元）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~1.6（季度估）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全年~持平2025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全年~60亿</w:t>
            </w:r>
          </w:p>
        </w:tc>
        <w:tc>
          <w:tcPr>
            <w:tcW w:type="dxa" w:w="1904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符合预期</w:t>
            </w:r>
          </w:p>
        </w:tc>
      </w:tr>
    </w:tbl>
    <w:p>
      <w:pPr>
        <w:spacing w:before="40" w:after="80"/>
      </w:pPr>
      <w:r>
        <w:rPr>
          <w:rFonts w:ascii="宋体" w:hAnsi="宋体"/>
          <w:i/>
          <w:color w:val="444444"/>
          <w:sz w:val="15"/>
        </w:rPr>
        <w:t>资料来源：中芯国际2025Q4业绩说明会（2026年2月10日）；里昂证券；彭博一致预期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管理层将Q1 2026营收环比持平归因于消费电子低端产品（IoT、家电）季节性去库存，以及手机板块短期库存调整。上述负面因素与AI加速器芯片需求加速增长形成对冲——中芯国际为华为昇腾910C（7nm制程）代工的良率已从约半年前的20%提升至当前约40%，产品已实现商业化盈利。</w:t>
      </w:r>
    </w:p>
    <w:p>
      <w:r>
        <w:br w:type="page"/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8"/>
        </w:rPr>
        <w:t>与预期对比分析及技术进展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七、2025Q4超预期/不及预期汇总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2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4_beat_mi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图8：2025Q4实际业绩与彭博一致预期对比 | 资料来源：中芯国际业绩公告；彭博（2026年2月10日）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营收超出一致预期6900万美元（+2.8%），主要由消费电子出货量好于预期以及12英寸晶圆占比提升推动。毛利率19.2%为本季主要不及预期项，低于一致预期20.9%约1.7个百分点，主因折旧加速度超出市场预判。归母净利润超出LSEG预期约260万美元（+1.5%），得益于出货量增长带来的强劲经营杠杆。</w:t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八、技术节点进展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7纳米制程（N+2）：中芯国际最先进制程节点持续改善，2025Q4良率据报道已达60–70%，远高于2023年下半年量产初期的40%以下。华为约采购中芯国际7nm约2万片/月产能中的1.5万片/月，主要用于麒麟系列手机SoC及昇腾AI加速器。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5纳米制程开发（N+3）：有报道指出中芯国际正在开发采用多重曝光DUV光刻（无需EUV）的5nm级制程，华为麒麟9030 SoC（预计2026年下半年量产）或将采用该节点。集邦咨询（TrendForce）预计，中国7nm/5nm合计产能在未来两年有望增长五倍，主要依托中芯国际。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出口管制风险：2025年9月，美国商务部将两家中国企业（无锡GMC半导体科技、上海积村半导体科技）列入实体清单，原因是其为中芯国际北京晶圆厂采购美国管制设备。此类持续收紧的出口管制措施对中芯国际近期设备供应影响有限（公司已构建缓冲库存），但长期制约其发展先进节点的能力。</w:t>
      </w:r>
    </w:p>
    <w:p>
      <w:r>
        <w:br w:type="page"/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8"/>
        </w:rPr>
        <w:t>更新投资逻辑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九、投资逻辑不变：结构性成长逻辑穿越周期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维持【跑赢大市】评级，目标价港币38.00元。2025Q4业绩进一步印证我们投资逻辑的三大核心支柱：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国产替代主线受益者：中国消费、工业及AI应用领域半导体本土化需求持续高增长，中芯国际约90%境内营收占比使其成为自主可控产业链的核心受益者，背后有政府政策支撑和华为、高通（中国）等大客户的多年产能承诺保障。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先进制程良率持续改善：7nm良率从40%以下提升至60–70%，是重要的经营里程碑。随着良率提高，7nm制程将从前期的拖累因素转变为盈利贡献项，预计7nm营收占比将从2025全年约8%提升至2026年约12–15%。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折旧压力为阶段性而非结构性：Q4毛利率下滑完全源于折旧时序问题，需求面和定价面均无问题。随着新产能进入量产爬坡期、营收规模持续扩大，预计毛利率将于2026年下半年回升至21–23%区间。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近期核心风险在于毛利率走势：若2026Q1毛利率落至指引区间下限（18%），市场可能担忧毛利率低迷延续。但我们认为当前1.8x NTM P/S的估值（远低于台积电的8.5x）已充分反映地缘政治风险溢价，下行空间有限。</w:t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十、主要风险因素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毛利率超预期下行：若晶圆产品结构未能按预期向高ASP制程迁移，2026上半年毛利率或持续低于20%。毛利率每下降1个百分点对应EPS影响约5–6%。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出口管制升级：若美国进一步限制DUV设备供应，将制约中芯国际发展7nm以下制程的能力，削弱其与台积电的长期竞争力。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大客户集中度风险：华为预估占营收35–40%。如出台专门针对华为芯片采购的地缘政治限制，将对中芯国际造成重大冲击。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资本支出执行风险：在设备交期仍然偏长的背景下，中芯国际计划2026全年投入约65亿美元资本支出，扩产延误可能导致份额流失至华虹半导体或长鑫存储。</w:t>
      </w:r>
    </w:p>
    <w:p>
      <w:pPr>
        <w:spacing w:before="40" w:after="40"/>
        <w:ind w:left="288"/>
      </w:pPr>
      <w:r>
        <w:rPr>
          <w:rFonts w:eastAsia="宋体" w:ascii="Times New Roman"/>
          <w:rFonts w:ascii="宋体" w:hAnsi="宋体"/>
          <w:color w:val="444444"/>
          <w:sz w:val="21"/>
        </w:rPr>
        <w:t>• 宏观与库存周期：若中国宏观经济走弱，消费电子去库存周期或延伸至2026年二季度，拖累产能利用率跌破90%。</w:t>
      </w:r>
    </w:p>
    <w:p>
      <w:r>
        <w:br w:type="page"/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8"/>
        </w:rPr>
        <w:t>估值与盈利预测更新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十一、估值——相对同业具吸引力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中芯国际当前交易于约1.8倍NTM市销率（P/S）和8.5倍NTM EV/EBITDA，相对台积电（P/S 8.5倍；EV/EBITDA 14.2倍）存在显著折让，亦低于联华电子（P/S 1.5倍）和格芯（P/S 2.2倍）的估值中枢。鉴于中芯国际的成长性显著优于同业（2025年+16%，2026年指引高于行业平均），我们认为当前折让程度过大，主要反映地缘政治风险溢价而非基本面折让。</w:t>
      </w:r>
    </w:p>
    <w:p>
      <w:pPr>
        <w:spacing w:before="60" w:after="60"/>
        <w:ind w:firstLine="420"/>
      </w:pPr>
      <w:r>
        <w:rPr>
          <w:rFonts w:eastAsia="宋体" w:ascii="Times New Roman"/>
          <w:rFonts w:ascii="宋体" w:hAnsi="宋体"/>
          <w:b w:val="0"/>
          <w:i w:val="0"/>
          <w:color w:val="444444"/>
          <w:sz w:val="21"/>
        </w:rPr>
        <w:t>目标价港币38.00元基于2026年预期营收106亿美元的2.5倍P/S，相对2026年3月14日收盘价港币28.40元约有39%上行空间。我们在台积电估值基础上给予70%折让，以反映中芯国际的地缘政治风险、技术代差和毛利率周期性。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12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10_valu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图9：中芯国际与晶圆代工同业估值对比（NTM P/S与EV/EBITDA）| 资料来源：彭博；公司文件；分析师一致预期（2026年3月）</w:t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4"/>
        </w:rPr>
        <w:t>十二、盈利预测更新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589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c_chart9_estim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444444"/>
          <w:sz w:val="16"/>
        </w:rPr>
        <w:t>图10：营收与毛利率预测——实际值与修订后预测 | 资料来源：中芯国际文件；内部预测（2026年3月）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2024年实际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2025年实际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2026年预测（新）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2026年预测（旧）</w:t>
            </w:r>
          </w:p>
        </w:tc>
        <w:tc>
          <w:tcPr>
            <w:tcW w:type="dxa" w:w="1586"/>
            <w:shd w:val="clear" w:color="auto" w:fill="003366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17"/>
              </w:rPr>
              <w:t>2027年预测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营收（百万美元）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8,028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9,327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10,600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10,200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12,000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营收增速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-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+16.2%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+13.6%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+9.4%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+13.2%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毛利润（百万美元）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1,445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1,959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2,067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2,091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2,580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毛利率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18.0%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21.0%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19.5%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20.5%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21.5%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EBITDA（百万美元）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4,100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4,850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5,300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5,100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6,200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归母净利润（百万美元）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490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666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720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700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950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每股盈利（美元）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0.046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0.063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0.068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0.066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0.090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资本支出（十亿美元）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5.7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6.5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~6.5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~6.0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~6.5</w:t>
            </w:r>
          </w:p>
        </w:tc>
      </w:tr>
      <w:tr>
        <w:tc>
          <w:tcPr>
            <w:tcW w:type="dxa" w:w="1586"/>
            <w:shd w:val="clear" w:color="auto" w:fill="F5F8FF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市销率（倍）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2.2x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1.9x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1.7x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1.7x</w:t>
            </w:r>
          </w:p>
        </w:tc>
        <w:tc>
          <w:tcPr>
            <w:tcW w:type="dxa" w:w="1586"/>
            <w:shd w:val="clear" w:color="auto" w:fill="F5F8FF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1.5x</w:t>
            </w:r>
          </w:p>
        </w:tc>
      </w:tr>
      <w:tr>
        <w:tc>
          <w:tcPr>
            <w:tcW w:type="dxa" w:w="1586"/>
          </w:tcPr>
          <w:p>
            <w:pPr>
              <w:jc w:val="left"/>
            </w:pPr>
            <w:r>
              <w:rPr>
                <w:rFonts w:eastAsia="宋体"/>
                <w:rFonts w:ascii="宋体" w:hAnsi="宋体"/>
                <w:b/>
                <w:color w:val="003366"/>
                <w:sz w:val="17"/>
              </w:rPr>
              <w:t>EV/EBITDA（倍）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9.2x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7.8x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7.1x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7.4x</w:t>
            </w:r>
          </w:p>
        </w:tc>
        <w:tc>
          <w:tcPr>
            <w:tcW w:type="dxa" w:w="1586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sz w:val="17"/>
              </w:rPr>
              <w:t>6.1x</w:t>
            </w:r>
          </w:p>
        </w:tc>
      </w:tr>
    </w:tbl>
    <w:p>
      <w:pPr>
        <w:spacing w:before="40" w:after="80"/>
      </w:pPr>
      <w:r>
        <w:rPr>
          <w:rFonts w:ascii="宋体" w:hAnsi="宋体"/>
          <w:i/>
          <w:color w:val="444444"/>
          <w:sz w:val="15"/>
        </w:rPr>
        <w:t>资料来源：中芯国际年报；2025Q4业绩公告；内部分析师预测；彭博一致预期（截至2026年3月）</w:t>
      </w:r>
    </w:p>
    <w:p>
      <w:pPr>
        <w:spacing w:before="60" w:after="60"/>
        <w:ind w:firstLine="360"/>
      </w:pPr>
      <w:r>
        <w:rPr>
          <w:rFonts w:eastAsia="宋体" w:ascii="Times New Roman"/>
          <w:rFonts w:ascii="宋体" w:hAnsi="宋体"/>
          <w:b w:val="0"/>
          <w:i/>
          <w:color w:val="444444"/>
          <w:sz w:val="18"/>
        </w:rPr>
        <w:t>注：2026年预测毛利率由20.5%下调至19.5%，以体现全年折旧增长及毛利率回升节奏慢于前期假设；营收预测由102亿美元上调至106亿美元，体现Q4需求强于预期及管理层高于行业增速的指引。</w:t>
      </w:r>
    </w:p>
    <w:p>
      <w:r>
        <w:br w:type="page"/>
      </w:r>
    </w:p>
    <w:p>
      <w:pPr>
        <w:spacing w:before="120" w:after="80"/>
      </w:pPr>
      <w:r>
        <w:rPr>
          <w:rFonts w:eastAsia="黑体" w:ascii="黑体"/>
          <w:rFonts w:ascii="黑体" w:hAnsi="黑体"/>
          <w:b/>
          <w:color w:val="003366"/>
          <w:sz w:val="28"/>
        </w:rPr>
        <w:t>资料来源与参考文献</w:t>
      </w:r>
    </w:p>
    <w:p>
      <w:pPr>
        <w:spacing w:before="40" w:after="40"/>
        <w:pBdr>
          <w:bottom w:val="single" w:sz="6" w:space="1" w:color="003366"/>
        </w:pBdr>
      </w:pPr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19">
        <w:r>
          <w:rPr>
            <w:rStyle w:val="Hyperlink"/>
            <w:color w:val="0066CC"/>
            <w:u w:val="single"/>
          </w:rPr>
          <w:t>中芯国际2025年第四季度及全年业绩公告（2026年2月10日）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0">
        <w:r>
          <w:rPr>
            <w:rStyle w:val="Hyperlink"/>
            <w:color w:val="0066CC"/>
            <w:u w:val="single"/>
          </w:rPr>
          <w:t>中芯国际2025Q4业绩说明会电话录音文字记录（2026年2月10日）— Seeking Alpha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1">
        <w:r>
          <w:rPr>
            <w:rStyle w:val="Hyperlink"/>
            <w:color w:val="0066CC"/>
            <w:u w:val="single"/>
          </w:rPr>
          <w:t>集邦咨询（TrendForce）：中芯国际2025年销售额创纪录达93亿美元，7nm良率拖累利润率（2026年2月11日）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2">
        <w:r>
          <w:rPr>
            <w:rStyle w:val="Hyperlink"/>
            <w:color w:val="0066CC"/>
            <w:u w:val="single"/>
          </w:rPr>
          <w:t>Sharecast：中芯国际Q4利润激增61%，超越市场预期（2026年2月10日）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3">
        <w:r>
          <w:rPr>
            <w:rStyle w:val="Hyperlink"/>
            <w:color w:val="0066CC"/>
            <w:u w:val="single"/>
          </w:rPr>
          <w:t>里昂证券研究点评：中芯国际Q1营收指引符合预期，毛利率指引略弱（2026年2月10日）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4">
        <w:r>
          <w:rPr>
            <w:rStyle w:val="Hyperlink"/>
            <w:color w:val="0066CC"/>
            <w:u w:val="single"/>
          </w:rPr>
          <w:t>KR-Asia：中芯国际Q4营收增长，产能扩张拖累利润率（2026年2月11日）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5">
        <w:r>
          <w:rPr>
            <w:rStyle w:val="Hyperlink"/>
            <w:color w:val="0066CC"/>
            <w:u w:val="single"/>
          </w:rPr>
          <w:t>集邦咨询（TrendForce）：中国7nm/5nm产能规模两年内增五倍（2026年2月25日）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6">
        <w:r>
          <w:rPr>
            <w:rStyle w:val="Hyperlink"/>
            <w:color w:val="0066CC"/>
            <w:u w:val="single"/>
          </w:rPr>
          <w:t>台北时报：美国制裁为中芯国际采购设备的相关企业（2025年9月15日）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7">
        <w:r>
          <w:rPr>
            <w:rStyle w:val="Hyperlink"/>
            <w:color w:val="0066CC"/>
            <w:u w:val="single"/>
          </w:rPr>
          <w:t>Edgen.tech：中芯国际2025年营收93亿美元后预计高于同业增速（2026年2月）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8">
        <w:r>
          <w:rPr>
            <w:rStyle w:val="Hyperlink"/>
            <w:color w:val="0066CC"/>
            <w:u w:val="single"/>
          </w:rPr>
          <w:t>富途牛牛：中芯国际2025Q4业绩发布——季度营收创历史新高（2026年2月10日）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29">
        <w:r>
          <w:rPr>
            <w:rStyle w:val="Hyperlink"/>
            <w:color w:val="0066CC"/>
            <w:u w:val="single"/>
          </w:rPr>
          <w:t>南华早报：中芯国际预计营收持平，低端订单下滑被AI芯片需求对冲（2026年2月10日）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30">
        <w:r>
          <w:rPr>
            <w:rStyle w:val="Hyperlink"/>
            <w:color w:val="0066CC"/>
            <w:u w:val="single"/>
          </w:rPr>
          <w:t>彭博分析师一致预期（截至2026年2月10日）</w:t>
        </w:r>
      </w:hyperlink>
    </w:p>
    <w:p>
      <w:pPr>
        <w:spacing w:before="40" w:after="40"/>
        <w:ind w:left="288"/>
      </w:pPr>
      <w:r>
        <w:rPr>
          <w:rFonts w:ascii="宋体" w:hAnsi="宋体"/>
          <w:color w:val="444444"/>
          <w:sz w:val="18"/>
        </w:rPr>
        <w:t xml:space="preserve">• </w:t>
      </w:r>
      <w:hyperlink r:id="rId31">
        <w:r>
          <w:rPr>
            <w:rStyle w:val="Hyperlink"/>
            <w:color w:val="0066CC"/>
            <w:u w:val="single"/>
          </w:rPr>
          <w:t>LSEG（路孚特）分析师一致预期（截至2026年2月10日）</w:t>
        </w:r>
      </w:hyperlink>
    </w:p>
    <w:p/>
    <w:p>
      <w:pPr>
        <w:spacing w:before="40" w:after="40"/>
        <w:pBdr>
          <w:bottom w:val="single" w:sz="6" w:space="1" w:color="003366"/>
        </w:pBdr>
      </w:pPr>
    </w:p>
    <w:p>
      <w:pPr>
        <w:spacing w:before="80"/>
      </w:pPr>
      <w:r>
        <w:rPr>
          <w:rFonts w:ascii="宋体" w:hAnsi="宋体"/>
          <w:i/>
          <w:color w:val="444444"/>
          <w:sz w:val="16"/>
        </w:rPr>
        <w:t>免责声明：本报告基于公开信息，仅供参考，不构成投资建议。所有预测及估值均为分析师独立判断，不代表任何机构的官方立场。投资涉及风险，过往业绩不代表未来表现。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smics.com/en/site/news_read/7949" TargetMode="External"/><Relationship Id="rId20" Type="http://schemas.openxmlformats.org/officeDocument/2006/relationships/hyperlink" Target="https://seekingalpha.com/article/4868483-semiconductor-manufacturing-international-corporation-siuif-q4-2025-earnings-call-transcript" TargetMode="External"/><Relationship Id="rId21" Type="http://schemas.openxmlformats.org/officeDocument/2006/relationships/hyperlink" Target="https://www.trendforce.com/news/2026/02/11/news-smic-posts-record-9-3b-in-2025-sales-7nm-yields-reportedly-weigh-on-margins/" TargetMode="External"/><Relationship Id="rId22" Type="http://schemas.openxmlformats.org/officeDocument/2006/relationships/hyperlink" Target="https://www.sharecast.com/news/international-companies/chipmaker-smic-smashes-estimates-with-61-surge-in-q4-profits--21644274.html" TargetMode="External"/><Relationship Id="rId23" Type="http://schemas.openxmlformats.org/officeDocument/2006/relationships/hyperlink" Target="https://news.futunn.com/en/post/68736865/clsa-smic-s-q1-revenue-guidance-meets-market-expectations-while" TargetMode="External"/><Relationship Id="rId24" Type="http://schemas.openxmlformats.org/officeDocument/2006/relationships/hyperlink" Target="https://kr-asia.com/smic-posts-revenue-growth-in-q4-as-expansion-weighs-on-margins" TargetMode="External"/><Relationship Id="rId25" Type="http://schemas.openxmlformats.org/officeDocument/2006/relationships/hyperlink" Target="https://www.trendforce.com/news/2026/02/25/news-china-reportedly-aims-to-boost-7nm-5nm-output-fivefold-in-two-years-driven-by-smic-and-hua-hong/" TargetMode="External"/><Relationship Id="rId26" Type="http://schemas.openxmlformats.org/officeDocument/2006/relationships/hyperlink" Target="https://www.taipeitimes.com/News/biz/archives/2025/09/15/2003843789" TargetMode="External"/><Relationship Id="rId27" Type="http://schemas.openxmlformats.org/officeDocument/2006/relationships/hyperlink" Target="https://www.edgen.tech/news/stock/smic-projects-peer-beating-growth-after-93b-2025-revenue" TargetMode="External"/><Relationship Id="rId28" Type="http://schemas.openxmlformats.org/officeDocument/2006/relationships/hyperlink" Target="https://news.futunn.com/en/post/68701909/smic-released-its-q4-earnings-report-quarterly-revenue-hit-a" TargetMode="External"/><Relationship Id="rId29" Type="http://schemas.openxmlformats.org/officeDocument/2006/relationships/hyperlink" Target="https://www.scmp.com/tech/big-tech/article/3343139/chinas-smic-expects-flat-revenue-drop-low-end-orders-offsets-ai-chip-growth" TargetMode="External"/><Relationship Id="rId30" Type="http://schemas.openxmlformats.org/officeDocument/2006/relationships/hyperlink" Target="https://www.bloomberg.com" TargetMode="External"/><Relationship Id="rId31" Type="http://schemas.openxmlformats.org/officeDocument/2006/relationships/hyperlink" Target="https://www.lse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