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b/>
          <w:color w:val="444444"/>
          <w:sz w:val="18"/>
        </w:rPr>
        <w:t>EQUITY RESEARCH  |  SEMICONDUCTORS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00336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RATING: OUTPERFORM</w:t>
            </w:r>
          </w:p>
        </w:tc>
        <w:tc>
          <w:tcPr>
            <w:tcW w:type="dxa" w:w="3173"/>
            <w:shd w:val="clear" w:color="auto" w:fill="00336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PRICE TARGET: HKD 38.00</w:t>
            </w:r>
          </w:p>
        </w:tc>
        <w:tc>
          <w:tcPr>
            <w:tcW w:type="dxa" w:w="3173"/>
            <w:shd w:val="clear" w:color="auto" w:fill="00336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REPORT DATE: March 16, 2026</w:t>
            </w:r>
          </w:p>
        </w:tc>
      </w:tr>
    </w:tbl>
    <w:p/>
    <w:p>
      <w:pPr>
        <w:spacing w:before="120" w:after="80"/>
      </w:pPr>
      <w:r>
        <w:rPr>
          <w:rFonts w:ascii="Times New Roman" w:hAnsi="Times New Roman"/>
          <w:b/>
          <w:color w:val="003366"/>
          <w:sz w:val="30"/>
        </w:rPr>
        <w:t>Semiconductor Manufacturing International Corporation (SMIC)</w:t>
      </w:r>
    </w:p>
    <w:p>
      <w:pPr>
        <w:spacing w:before="120" w:after="80"/>
      </w:pPr>
      <w:r>
        <w:rPr>
          <w:rFonts w:ascii="Times New Roman" w:hAnsi="Times New Roman"/>
          <w:b/>
          <w:color w:val="0066CC"/>
          <w:sz w:val="26"/>
        </w:rPr>
        <w:t>Q4 2025 Earnings Update: Revenue Beats, Margins Under Pressure from Capacity Ramp</w:t>
      </w:r>
    </w:p>
    <w:p>
      <w:pPr>
        <w:spacing w:before="40" w:after="40"/>
        <w:pBdr>
          <w:bottom w:val="single" w:sz="6" w:space="1" w:color="003366"/>
        </w:pBdr>
      </w:pPr>
    </w:p>
    <w:p>
      <w:pPr>
        <w:spacing w:before="80"/>
      </w:pPr>
      <w:r>
        <w:rPr>
          <w:rFonts w:ascii="Times New Roman" w:hAnsi="Times New Roman"/>
          <w:b/>
          <w:color w:val="003366"/>
          <w:sz w:val="18"/>
        </w:rPr>
        <w:t xml:space="preserve">Tickers: </w:t>
      </w:r>
      <w:r>
        <w:rPr>
          <w:rFonts w:ascii="Times New Roman" w:hAnsi="Times New Roman"/>
          <w:color w:val="444444"/>
          <w:sz w:val="18"/>
        </w:rPr>
        <w:t xml:space="preserve">0981.HK / 688981.SS  </w:t>
      </w:r>
      <w:r>
        <w:rPr>
          <w:rFonts w:ascii="Times New Roman" w:hAnsi="Times New Roman"/>
          <w:b/>
          <w:color w:val="003366"/>
          <w:sz w:val="18"/>
        </w:rPr>
        <w:t xml:space="preserve">Sector: </w:t>
      </w:r>
      <w:r>
        <w:rPr>
          <w:rFonts w:ascii="Times New Roman" w:hAnsi="Times New Roman"/>
          <w:color w:val="444444"/>
          <w:sz w:val="18"/>
        </w:rPr>
        <w:t xml:space="preserve">Semiconductor Foundry  </w:t>
      </w:r>
      <w:r>
        <w:rPr>
          <w:rFonts w:ascii="Times New Roman" w:hAnsi="Times New Roman"/>
          <w:b/>
          <w:color w:val="003366"/>
          <w:sz w:val="18"/>
        </w:rPr>
        <w:t xml:space="preserve">Current Price: </w:t>
      </w:r>
      <w:r>
        <w:rPr>
          <w:rFonts w:ascii="Times New Roman" w:hAnsi="Times New Roman"/>
          <w:color w:val="444444"/>
          <w:sz w:val="18"/>
        </w:rPr>
        <w:t xml:space="preserve">HKD 28.40 (Mar 14, 2026)  </w:t>
      </w:r>
      <w:r>
        <w:rPr>
          <w:rFonts w:ascii="Times New Roman" w:hAnsi="Times New Roman"/>
          <w:b/>
          <w:color w:val="003366"/>
          <w:sz w:val="18"/>
        </w:rPr>
        <w:t xml:space="preserve">52-Week Range: </w:t>
      </w:r>
      <w:r>
        <w:rPr>
          <w:rFonts w:ascii="Times New Roman" w:hAnsi="Times New Roman"/>
          <w:color w:val="444444"/>
          <w:sz w:val="18"/>
        </w:rPr>
        <w:t>HKD 17.82 – HKD 42.80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EBF0F8"/>
          </w:tcPr>
          <w:p>
            <w:r>
              <w:rPr>
                <w:rFonts w:ascii="Times New Roman" w:hAnsi="Times New Roman"/>
                <w:b/>
                <w:color w:val="003366"/>
                <w:sz w:val="20"/>
              </w:rPr>
              <w:t>KEY TAKEAWAYS</w:t>
            </w:r>
          </w:p>
          <w:p/>
          <w:p>
            <w:pPr>
              <w:spacing w:before="20" w:after="20"/>
              <w:ind w:left="144"/>
            </w:pPr>
            <w:r>
              <w:rPr>
                <w:rFonts w:ascii="Times New Roman" w:hAnsi="Times New Roman"/>
                <w:color w:val="444444"/>
                <w:sz w:val="19"/>
              </w:rPr>
              <w:t>• REVENUE BEAT: Q4'25 revenue of $2,489M (+12.8% YoY, +4.5% QoQ) beat Bloomberg consensus of ~$2,420M by +2.8%. Full-year 2025 revenue reached a record $9,327M (+16.2% YoY).</w:t>
            </w:r>
          </w:p>
          <w:p>
            <w:pPr>
              <w:spacing w:before="20" w:after="20"/>
              <w:ind w:left="144"/>
            </w:pPr>
            <w:r>
              <w:rPr>
                <w:rFonts w:ascii="Times New Roman" w:hAnsi="Times New Roman"/>
                <w:color w:val="444444"/>
                <w:sz w:val="19"/>
              </w:rPr>
              <w:t>• MARGIN MISS: Gross margin contracted to 19.2% in Q4'25 (vs. 22.0% in Q3'25 and consensus 20.9%), driven by a ~30% step-up in depreciation as newly commissioned 12-inch capacity entered its depreciation cycle.</w:t>
            </w:r>
          </w:p>
          <w:p>
            <w:pPr>
              <w:spacing w:before="20" w:after="20"/>
              <w:ind w:left="144"/>
            </w:pPr>
            <w:r>
              <w:rPr>
                <w:rFonts w:ascii="Times New Roman" w:hAnsi="Times New Roman"/>
                <w:color w:val="444444"/>
                <w:sz w:val="19"/>
              </w:rPr>
              <w:t>• NET INCOME SURGES: Q4'25 net income of $172.85M (+60.7% YoY) beat LSEG consensus of $170.3M, reflecting operating leverage on higher volumes.</w:t>
            </w:r>
          </w:p>
          <w:p>
            <w:pPr>
              <w:spacing w:before="20" w:after="20"/>
              <w:ind w:left="144"/>
            </w:pPr>
            <w:r>
              <w:rPr>
                <w:rFonts w:ascii="Times New Roman" w:hAnsi="Times New Roman"/>
                <w:color w:val="444444"/>
                <w:sz w:val="19"/>
              </w:rPr>
              <w:t>• Q1 2026 GUIDANCE IN-LINE: Revenue guided flat QoQ (~$2,489M); gross margin guided at 18–20% — slightly below the prior consensus of ~20.9%, reflecting seasonal weakness in consumer electronics.</w:t>
            </w:r>
          </w:p>
          <w:p>
            <w:pPr>
              <w:spacing w:before="20" w:after="20"/>
              <w:ind w:left="144"/>
            </w:pPr>
            <w:r>
              <w:rPr>
                <w:rFonts w:ascii="Times New Roman" w:hAnsi="Times New Roman"/>
                <w:color w:val="444444"/>
                <w:sz w:val="19"/>
              </w:rPr>
              <w:t>• THESIS INTACT: The depreciation headwind is structural but temporary — yields on 7nm are improving (now 60–70%), and capacity utilization of 95.7% demonstrates strong demand absorption. We maintain OUTPERFORM.</w:t>
            </w:r>
          </w:p>
        </w:tc>
      </w:tr>
    </w:tbl>
    <w:p/>
    <w:p>
      <w:pPr>
        <w:spacing w:before="120" w:after="80"/>
      </w:pPr>
      <w:r>
        <w:rPr>
          <w:rFonts w:ascii="Times New Roman" w:hAnsi="Times New Roman"/>
          <w:b/>
          <w:color w:val="003366"/>
          <w:sz w:val="22"/>
        </w:rPr>
        <w:t>Financial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90"/>
        <w:gridCol w:w="1190"/>
        <w:gridCol w:w="1190"/>
        <w:gridCol w:w="1190"/>
        <w:gridCol w:w="1190"/>
        <w:gridCol w:w="1190"/>
        <w:gridCol w:w="1190"/>
        <w:gridCol w:w="1190"/>
      </w:tblGrid>
      <w:tr>
        <w:tc>
          <w:tcPr>
            <w:tcW w:type="dxa" w:w="1190"/>
            <w:shd w:val="clear" w:color="auto"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1190"/>
            <w:shd w:val="clear" w:color="auto"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Q4'24A</w:t>
            </w:r>
          </w:p>
        </w:tc>
        <w:tc>
          <w:tcPr>
            <w:tcW w:type="dxa" w:w="1190"/>
            <w:shd w:val="clear" w:color="auto"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Q3'25A</w:t>
            </w:r>
          </w:p>
        </w:tc>
        <w:tc>
          <w:tcPr>
            <w:tcW w:type="dxa" w:w="1190"/>
            <w:shd w:val="clear" w:color="auto"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Q4'25A</w:t>
            </w:r>
          </w:p>
        </w:tc>
        <w:tc>
          <w:tcPr>
            <w:tcW w:type="dxa" w:w="1190"/>
            <w:shd w:val="clear" w:color="auto"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QoQ Chg</w:t>
            </w:r>
          </w:p>
        </w:tc>
        <w:tc>
          <w:tcPr>
            <w:tcW w:type="dxa" w:w="1190"/>
            <w:shd w:val="clear" w:color="auto"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YoY Chg</w:t>
            </w:r>
          </w:p>
        </w:tc>
        <w:tc>
          <w:tcPr>
            <w:tcW w:type="dxa" w:w="1190"/>
            <w:shd w:val="clear" w:color="auto"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Consensus</w:t>
            </w:r>
          </w:p>
        </w:tc>
        <w:tc>
          <w:tcPr>
            <w:tcW w:type="dxa" w:w="1190"/>
            <w:shd w:val="clear" w:color="auto"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vs. Est.</w:t>
            </w:r>
          </w:p>
        </w:tc>
      </w:tr>
      <w:tr>
        <w:tc>
          <w:tcPr>
            <w:tcW w:type="dxa" w:w="1190"/>
            <w:shd w:val="clear" w:color="auto" w:fill="F5F8FF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Revenue ($M)</w:t>
            </w:r>
          </w:p>
        </w:tc>
        <w:tc>
          <w:tcPr>
            <w:tcW w:type="dxa" w:w="1190"/>
            <w:shd w:val="clear" w:color="auto" w:fill="F5F8FF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2,207</w:t>
            </w:r>
          </w:p>
        </w:tc>
        <w:tc>
          <w:tcPr>
            <w:tcW w:type="dxa" w:w="1190"/>
            <w:shd w:val="clear" w:color="auto" w:fill="F5F8FF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2,382</w:t>
            </w:r>
          </w:p>
        </w:tc>
        <w:tc>
          <w:tcPr>
            <w:tcW w:type="dxa" w:w="1190"/>
            <w:shd w:val="clear" w:color="auto" w:fill="F5F8FF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2,489</w:t>
            </w:r>
          </w:p>
        </w:tc>
        <w:tc>
          <w:tcPr>
            <w:tcW w:type="dxa" w:w="1190"/>
            <w:shd w:val="clear" w:color="auto" w:fill="F5F8FF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+4.5%</w:t>
            </w:r>
          </w:p>
        </w:tc>
        <w:tc>
          <w:tcPr>
            <w:tcW w:type="dxa" w:w="1190"/>
            <w:shd w:val="clear" w:color="auto" w:fill="F5F8FF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+12.8%</w:t>
            </w:r>
          </w:p>
        </w:tc>
        <w:tc>
          <w:tcPr>
            <w:tcW w:type="dxa" w:w="1190"/>
            <w:shd w:val="clear" w:color="auto" w:fill="F5F8FF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~2,420</w:t>
            </w:r>
          </w:p>
        </w:tc>
        <w:tc>
          <w:tcPr>
            <w:tcW w:type="dxa" w:w="1190"/>
            <w:shd w:val="clear" w:color="auto" w:fill="F5F8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A6B3A"/>
                <w:sz w:val="17"/>
              </w:rPr>
              <w:t>+2.8% BEAT</w:t>
            </w:r>
          </w:p>
        </w:tc>
      </w:tr>
      <w:tr>
        <w:tc>
          <w:tcPr>
            <w:tcW w:type="dxa" w:w="1190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Gross Margin</w:t>
            </w:r>
          </w:p>
        </w:tc>
        <w:tc>
          <w:tcPr>
            <w:tcW w:type="dxa" w:w="1190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22.6%</w:t>
            </w:r>
          </w:p>
        </w:tc>
        <w:tc>
          <w:tcPr>
            <w:tcW w:type="dxa" w:w="1190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22.0%</w:t>
            </w:r>
          </w:p>
        </w:tc>
        <w:tc>
          <w:tcPr>
            <w:tcW w:type="dxa" w:w="1190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19.2%</w:t>
            </w:r>
          </w:p>
        </w:tc>
        <w:tc>
          <w:tcPr>
            <w:tcW w:type="dxa" w:w="1190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-2.8pp</w:t>
            </w:r>
          </w:p>
        </w:tc>
        <w:tc>
          <w:tcPr>
            <w:tcW w:type="dxa" w:w="1190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-3.4pp</w:t>
            </w:r>
          </w:p>
        </w:tc>
        <w:tc>
          <w:tcPr>
            <w:tcW w:type="dxa" w:w="1190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20.9%</w:t>
            </w:r>
          </w:p>
        </w:tc>
        <w:tc>
          <w:tcPr>
            <w:tcW w:type="dxa" w:w="119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C0000"/>
                <w:sz w:val="17"/>
              </w:rPr>
              <w:t>MISS</w:t>
            </w:r>
          </w:p>
        </w:tc>
      </w:tr>
      <w:tr>
        <w:tc>
          <w:tcPr>
            <w:tcW w:type="dxa" w:w="1190"/>
            <w:shd w:val="clear" w:color="auto" w:fill="F5F8FF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Net Income ($M)</w:t>
            </w:r>
          </w:p>
        </w:tc>
        <w:tc>
          <w:tcPr>
            <w:tcW w:type="dxa" w:w="1190"/>
            <w:shd w:val="clear" w:color="auto" w:fill="F5F8FF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107</w:t>
            </w:r>
          </w:p>
        </w:tc>
        <w:tc>
          <w:tcPr>
            <w:tcW w:type="dxa" w:w="1190"/>
            <w:shd w:val="clear" w:color="auto" w:fill="F5F8FF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192</w:t>
            </w:r>
          </w:p>
        </w:tc>
        <w:tc>
          <w:tcPr>
            <w:tcW w:type="dxa" w:w="1190"/>
            <w:shd w:val="clear" w:color="auto" w:fill="F5F8FF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173</w:t>
            </w:r>
          </w:p>
        </w:tc>
        <w:tc>
          <w:tcPr>
            <w:tcW w:type="dxa" w:w="1190"/>
            <w:shd w:val="clear" w:color="auto" w:fill="F5F8FF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-9.9%</w:t>
            </w:r>
          </w:p>
        </w:tc>
        <w:tc>
          <w:tcPr>
            <w:tcW w:type="dxa" w:w="1190"/>
            <w:shd w:val="clear" w:color="auto" w:fill="F5F8FF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+60.7%</w:t>
            </w:r>
          </w:p>
        </w:tc>
        <w:tc>
          <w:tcPr>
            <w:tcW w:type="dxa" w:w="1190"/>
            <w:shd w:val="clear" w:color="auto" w:fill="F5F8FF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170</w:t>
            </w:r>
          </w:p>
        </w:tc>
        <w:tc>
          <w:tcPr>
            <w:tcW w:type="dxa" w:w="1190"/>
            <w:shd w:val="clear" w:color="auto" w:fill="F5F8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A6B3A"/>
                <w:sz w:val="17"/>
              </w:rPr>
              <w:t>+1.7% BEAT</w:t>
            </w:r>
          </w:p>
        </w:tc>
      </w:tr>
      <w:tr>
        <w:tc>
          <w:tcPr>
            <w:tcW w:type="dxa" w:w="1190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EPS (USD)</w:t>
            </w:r>
          </w:p>
        </w:tc>
        <w:tc>
          <w:tcPr>
            <w:tcW w:type="dxa" w:w="1190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0.010</w:t>
            </w:r>
          </w:p>
        </w:tc>
        <w:tc>
          <w:tcPr>
            <w:tcW w:type="dxa" w:w="1190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0.018</w:t>
            </w:r>
          </w:p>
        </w:tc>
        <w:tc>
          <w:tcPr>
            <w:tcW w:type="dxa" w:w="1190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0.016</w:t>
            </w:r>
          </w:p>
        </w:tc>
        <w:tc>
          <w:tcPr>
            <w:tcW w:type="dxa" w:w="1190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-</w:t>
            </w:r>
          </w:p>
        </w:tc>
        <w:tc>
          <w:tcPr>
            <w:tcW w:type="dxa" w:w="1190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+60%</w:t>
            </w:r>
          </w:p>
        </w:tc>
        <w:tc>
          <w:tcPr>
            <w:tcW w:type="dxa" w:w="1190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0.016</w:t>
            </w:r>
          </w:p>
        </w:tc>
        <w:tc>
          <w:tcPr>
            <w:tcW w:type="dxa" w:w="1190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In-Line</w:t>
            </w:r>
          </w:p>
        </w:tc>
      </w:tr>
      <w:tr>
        <w:tc>
          <w:tcPr>
            <w:tcW w:type="dxa" w:w="1190"/>
            <w:shd w:val="clear" w:color="auto" w:fill="F5F8FF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EBITDA ($M)</w:t>
            </w:r>
          </w:p>
        </w:tc>
        <w:tc>
          <w:tcPr>
            <w:tcW w:type="dxa" w:w="1190"/>
            <w:shd w:val="clear" w:color="auto" w:fill="F5F8FF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~1,100</w:t>
            </w:r>
          </w:p>
        </w:tc>
        <w:tc>
          <w:tcPr>
            <w:tcW w:type="dxa" w:w="1190"/>
            <w:shd w:val="clear" w:color="auto" w:fill="F5F8FF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~1,300</w:t>
            </w:r>
          </w:p>
        </w:tc>
        <w:tc>
          <w:tcPr>
            <w:tcW w:type="dxa" w:w="1190"/>
            <w:shd w:val="clear" w:color="auto" w:fill="F5F8FF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1,405</w:t>
            </w:r>
          </w:p>
        </w:tc>
        <w:tc>
          <w:tcPr>
            <w:tcW w:type="dxa" w:w="1190"/>
            <w:shd w:val="clear" w:color="auto" w:fill="F5F8FF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+8.1%</w:t>
            </w:r>
          </w:p>
        </w:tc>
        <w:tc>
          <w:tcPr>
            <w:tcW w:type="dxa" w:w="1190"/>
            <w:shd w:val="clear" w:color="auto" w:fill="F5F8FF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+27.7%</w:t>
            </w:r>
          </w:p>
        </w:tc>
        <w:tc>
          <w:tcPr>
            <w:tcW w:type="dxa" w:w="1190"/>
            <w:shd w:val="clear" w:color="auto" w:fill="F5F8FF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~1,380</w:t>
            </w:r>
          </w:p>
        </w:tc>
        <w:tc>
          <w:tcPr>
            <w:tcW w:type="dxa" w:w="1190"/>
            <w:shd w:val="clear" w:color="auto" w:fill="F5F8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A6B3A"/>
                <w:sz w:val="17"/>
              </w:rPr>
              <w:t>+1.8% BEAT</w:t>
            </w:r>
          </w:p>
        </w:tc>
      </w:tr>
      <w:tr>
        <w:tc>
          <w:tcPr>
            <w:tcW w:type="dxa" w:w="1190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Capex ($M)</w:t>
            </w:r>
          </w:p>
        </w:tc>
        <w:tc>
          <w:tcPr>
            <w:tcW w:type="dxa" w:w="1190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~800</w:t>
            </w:r>
          </w:p>
        </w:tc>
        <w:tc>
          <w:tcPr>
            <w:tcW w:type="dxa" w:w="1190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~950</w:t>
            </w:r>
          </w:p>
        </w:tc>
        <w:tc>
          <w:tcPr>
            <w:tcW w:type="dxa" w:w="1190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~1,050</w:t>
            </w:r>
          </w:p>
        </w:tc>
        <w:tc>
          <w:tcPr>
            <w:tcW w:type="dxa" w:w="1190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+10.5%</w:t>
            </w:r>
          </w:p>
        </w:tc>
        <w:tc>
          <w:tcPr>
            <w:tcW w:type="dxa" w:w="1190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+31.3%</w:t>
            </w:r>
          </w:p>
        </w:tc>
        <w:tc>
          <w:tcPr>
            <w:tcW w:type="dxa" w:w="1190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-</w:t>
            </w:r>
          </w:p>
        </w:tc>
        <w:tc>
          <w:tcPr>
            <w:tcW w:type="dxa" w:w="1190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-</w:t>
            </w:r>
          </w:p>
        </w:tc>
      </w:tr>
      <w:tr>
        <w:tc>
          <w:tcPr>
            <w:tcW w:type="dxa" w:w="1190"/>
            <w:shd w:val="clear" w:color="auto" w:fill="F5F8FF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Capacity Util.</w:t>
            </w:r>
          </w:p>
        </w:tc>
        <w:tc>
          <w:tcPr>
            <w:tcW w:type="dxa" w:w="1190"/>
            <w:shd w:val="clear" w:color="auto" w:fill="F5F8FF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86.3%</w:t>
            </w:r>
          </w:p>
        </w:tc>
        <w:tc>
          <w:tcPr>
            <w:tcW w:type="dxa" w:w="1190"/>
            <w:shd w:val="clear" w:color="auto" w:fill="F5F8FF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90.1%</w:t>
            </w:r>
          </w:p>
        </w:tc>
        <w:tc>
          <w:tcPr>
            <w:tcW w:type="dxa" w:w="1190"/>
            <w:shd w:val="clear" w:color="auto" w:fill="F5F8FF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95.7%</w:t>
            </w:r>
          </w:p>
        </w:tc>
        <w:tc>
          <w:tcPr>
            <w:tcW w:type="dxa" w:w="1190"/>
            <w:shd w:val="clear" w:color="auto" w:fill="F5F8FF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+5.6pp</w:t>
            </w:r>
          </w:p>
        </w:tc>
        <w:tc>
          <w:tcPr>
            <w:tcW w:type="dxa" w:w="1190"/>
            <w:shd w:val="clear" w:color="auto" w:fill="F5F8FF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+9.4pp</w:t>
            </w:r>
          </w:p>
        </w:tc>
        <w:tc>
          <w:tcPr>
            <w:tcW w:type="dxa" w:w="1190"/>
            <w:shd w:val="clear" w:color="auto" w:fill="F5F8FF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-</w:t>
            </w:r>
          </w:p>
        </w:tc>
        <w:tc>
          <w:tcPr>
            <w:tcW w:type="dxa" w:w="1190"/>
            <w:shd w:val="clear" w:color="auto" w:fill="F5F8FF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-</w:t>
            </w:r>
          </w:p>
        </w:tc>
      </w:tr>
    </w:tbl>
    <w:p>
      <w:pPr>
        <w:spacing w:before="40"/>
      </w:pPr>
      <w:r>
        <w:rPr>
          <w:i/>
          <w:color w:val="444444"/>
          <w:sz w:val="15"/>
        </w:rPr>
        <w:t>Source: SMIC Q4 2025 Earnings Release (Feb 10, 2026); Bloomberg Consensus; LSEG (Feb 10, 2026)</w:t>
      </w:r>
    </w:p>
    <w:p>
      <w:r>
        <w:br w:type="page"/>
      </w:r>
    </w:p>
    <w:p>
      <w:pPr>
        <w:spacing w:before="120" w:after="80"/>
      </w:pPr>
      <w:r>
        <w:rPr>
          <w:rFonts w:ascii="Times New Roman" w:hAnsi="Times New Roman"/>
          <w:b/>
          <w:color w:val="003366"/>
          <w:sz w:val="28"/>
        </w:rPr>
        <w:t>Detailed Results Analysis</w:t>
      </w:r>
    </w:p>
    <w:p>
      <w:pPr>
        <w:spacing w:before="40" w:after="40"/>
        <w:pBdr>
          <w:bottom w:val="single" w:sz="6" w:space="1" w:color="003366"/>
        </w:pBdr>
      </w:pPr>
    </w:p>
    <w:p>
      <w:pPr>
        <w:spacing w:before="120" w:after="80"/>
      </w:pPr>
      <w:r>
        <w:rPr>
          <w:rFonts w:ascii="Times New Roman" w:hAnsi="Times New Roman"/>
          <w:b/>
          <w:color w:val="003366"/>
          <w:sz w:val="24"/>
        </w:rPr>
        <w:t>1. Revenue Performance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444444"/>
          <w:sz w:val="20"/>
        </w:rPr>
        <w:t>SMIC reported Q4 2025 revenue of $2,489M, a record quarterly high, beating the Bloomberg consensus of approximately $2,420M by 2.8% and advancing 12.8% year-over-year and 4.5% sequentially. Full-year 2025 revenue reached $9,327M, +16.2% versus $8,028M in 2024.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444444"/>
          <w:sz w:val="20"/>
        </w:rPr>
        <w:t>Volume and pricing both contributed to the beat. Wafer shipments in Q4 rose only +0.6% QoQ to approximately 2.1 million 8-inch equivalent wafers, but average selling prices (ASPs) increased by +3.8% QoQ, reflecting a higher mix of 12-inch wafers in the product mix. The shift toward higher-ASP 12-inch wafers — driven by Huawei's Kirin and AI chip demand — was a key driver.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212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ic_chart1_revenu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1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i/>
          <w:color w:val="444444"/>
          <w:sz w:val="16"/>
        </w:rPr>
        <w:t>Figure 1: SMIC Quarterly Revenue Trend (USD M) | Source: SMIC Earnings Releases</w:t>
      </w:r>
    </w:p>
    <w:p>
      <w:pPr>
        <w:spacing w:before="120" w:after="80"/>
      </w:pPr>
      <w:r>
        <w:rPr>
          <w:rFonts w:ascii="Times New Roman" w:hAnsi="Times New Roman"/>
          <w:b/>
          <w:color w:val="003366"/>
          <w:sz w:val="24"/>
        </w:rPr>
        <w:t>2. End-Market Breakdown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444444"/>
          <w:sz w:val="20"/>
        </w:rPr>
        <w:t>Consumer electronics was the dominant segment in Q4 2025, representing 47% of revenue (up from 43% in Q3), driven by seasonal strength in IoT devices, set-top boxes, and wearables. Smartphones fell to 20% of revenue as handset demand moderated. China-domestic customers accounted for approximately 90% of total Q4 sales, up from ~88% in Q3, as SMIC deepens its role in China's semiconductor self-sufficiency ecosystem.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6476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ic_chart5_endmark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647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i/>
          <w:color w:val="444444"/>
          <w:sz w:val="16"/>
        </w:rPr>
        <w:t>Figure 2: Revenue by End Market, Q4 2025 | Source: SMIC Q4 2025 Earnings Call (Feb 10, 2026)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4570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ic_chart6_geograph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457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i/>
          <w:color w:val="444444"/>
          <w:sz w:val="16"/>
        </w:rPr>
        <w:t>Figure 3: Revenue by Geography, Q4 2025 | Source: SMIC Q4 2025 Earnings Release</w:t>
      </w:r>
    </w:p>
    <w:p>
      <w:r>
        <w:br w:type="page"/>
      </w:r>
    </w:p>
    <w:p>
      <w:pPr>
        <w:spacing w:before="120" w:after="80"/>
      </w:pPr>
      <w:r>
        <w:rPr>
          <w:rFonts w:ascii="Times New Roman" w:hAnsi="Times New Roman"/>
          <w:b/>
          <w:color w:val="003366"/>
          <w:sz w:val="24"/>
        </w:rPr>
        <w:t>3. Gross Margin Analysis — Depreciation Headwind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444444"/>
          <w:sz w:val="20"/>
        </w:rPr>
        <w:t>Gross margin contracted sharply to 19.2% in Q4 2025, down from 22.0% in Q3 2025 and below the consensus estimate of 20.9%. The -2.8pp sequential decline was almost entirely attributable to depreciation from newly commissioned capacity, rather than demand weakness or pricing pressure.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444444"/>
          <w:sz w:val="20"/>
        </w:rPr>
        <w:t>Management detailed the margin bridge on the earnings call: the step-up in depreciation, representing the first full quarter of charges from fabs commissioned in H2 2025, accounted for approximately -4.2pp of gross margin impact. This was partially offset by positive volume and ASP effects (+1.4pp combined). We estimate total depreciation will rise approximately 30% YoY in 2026 as new capacity matures.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423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ic_chart7_margin_brid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42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i/>
          <w:color w:val="444444"/>
          <w:sz w:val="16"/>
        </w:rPr>
        <w:t>Figure 4: Gross Margin Bridge Q3'25 → Q4'25 | Source: SMIC Q4 2025 Earnings Call (Feb 10, 2026)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212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ic_chart2_gross_marg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1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i/>
          <w:color w:val="444444"/>
          <w:sz w:val="16"/>
        </w:rPr>
        <w:t>Figure 5: Quarterly Gross Margin Trend | Source: SMIC Earnings Releases</w:t>
      </w:r>
    </w:p>
    <w:p>
      <w:pPr>
        <w:spacing w:before="120" w:after="80"/>
      </w:pPr>
      <w:r>
        <w:rPr>
          <w:rFonts w:ascii="Times New Roman" w:hAnsi="Times New Roman"/>
          <w:b/>
          <w:color w:val="003366"/>
          <w:sz w:val="24"/>
        </w:rPr>
        <w:t>4. Net Income &amp; Profitability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444444"/>
          <w:sz w:val="20"/>
        </w:rPr>
        <w:t>Despite the margin compression, Q4 2025 net income attributable to shareholders reached $172.85M (RMB 1.223B), +60.7% YoY. This sharp year-over-year growth reflects the low base in Q4 2024 (when margins troughed at 22.6% but net income was depressed by lower volumes and elevated opex). Full-year 2025 net income reached approximately $666M (RMB 5.04B), +36.3% versus FY2024.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212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ic_chart3_net_inco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1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i/>
          <w:color w:val="444444"/>
          <w:sz w:val="16"/>
        </w:rPr>
        <w:t>Figure 6: Quarterly Net Income Trend (USD M) | Source: SMIC Earnings Releases</w:t>
      </w:r>
    </w:p>
    <w:p>
      <w:r>
        <w:br w:type="page"/>
      </w:r>
    </w:p>
    <w:p>
      <w:pPr>
        <w:spacing w:before="120" w:after="80"/>
      </w:pPr>
      <w:r>
        <w:rPr>
          <w:rFonts w:ascii="Times New Roman" w:hAnsi="Times New Roman"/>
          <w:b/>
          <w:color w:val="003366"/>
          <w:sz w:val="28"/>
        </w:rPr>
        <w:t>Key Metrics &amp; Q1 2026 Guidance</w:t>
      </w:r>
    </w:p>
    <w:p>
      <w:pPr>
        <w:spacing w:before="40" w:after="40"/>
        <w:pBdr>
          <w:bottom w:val="single" w:sz="6" w:space="1" w:color="003366"/>
        </w:pBdr>
      </w:pPr>
    </w:p>
    <w:p>
      <w:pPr>
        <w:spacing w:before="120" w:after="80"/>
      </w:pPr>
      <w:r>
        <w:rPr>
          <w:rFonts w:ascii="Times New Roman" w:hAnsi="Times New Roman"/>
          <w:b/>
          <w:color w:val="003366"/>
          <w:sz w:val="24"/>
        </w:rPr>
        <w:t>5. Capacity Utilization &amp; Expansion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444444"/>
          <w:sz w:val="20"/>
        </w:rPr>
        <w:t>Q4 2025 capacity utilization reached 95.7%, the highest in two years, demonstrating strong demand absorption against a backdrop of rapid capacity additions. Monthly wafer capacity grew to approximately 1.06 million 8-inch equivalent wafers per month (wspm) by year-end 2025, up from ~950K wspm at end-2024 — a +111K wspm addition in 2025.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444444"/>
          <w:sz w:val="20"/>
        </w:rPr>
        <w:t>For 2026, SMIC guided CapEx to be 'roughly flat' versus the ~$6.5B invested in 2025, implying continued capacity expansion. Monthly capacity is expected to increase by a further ~40,000 12-inch equivalent wspm versus end-2025, with new fabs in Beijing and Tianjin ramping through the year.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2128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ic_chart8_utiliz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1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i/>
          <w:color w:val="444444"/>
          <w:sz w:val="16"/>
        </w:rPr>
        <w:t>Figure 7: Capacity Utilization (%) vs. Monthly Wafer Capacity | Source: SMIC Earnings Releases; Company Filings</w:t>
      </w:r>
    </w:p>
    <w:p>
      <w:pPr>
        <w:spacing w:before="120" w:after="80"/>
      </w:pPr>
      <w:r>
        <w:rPr>
          <w:rFonts w:ascii="Times New Roman" w:hAnsi="Times New Roman"/>
          <w:b/>
          <w:color w:val="003366"/>
          <w:sz w:val="24"/>
        </w:rPr>
        <w:t>6. Q1 2026 Guidance vs. Consensus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val="clear" w:color="auto"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1904"/>
            <w:shd w:val="clear" w:color="auto"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Q4'25 Actual</w:t>
            </w:r>
          </w:p>
        </w:tc>
        <w:tc>
          <w:tcPr>
            <w:tcW w:type="dxa" w:w="1904"/>
            <w:shd w:val="clear" w:color="auto"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Q1'26E (Mgmt Guide)</w:t>
            </w:r>
          </w:p>
        </w:tc>
        <w:tc>
          <w:tcPr>
            <w:tcW w:type="dxa" w:w="1904"/>
            <w:shd w:val="clear" w:color="auto"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Q1'26E (Prior Consensus)</w:t>
            </w:r>
          </w:p>
        </w:tc>
        <w:tc>
          <w:tcPr>
            <w:tcW w:type="dxa" w:w="1904"/>
            <w:shd w:val="clear" w:color="auto"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vs. Consensus</w:t>
            </w:r>
          </w:p>
        </w:tc>
      </w:tr>
      <w:tr>
        <w:tc>
          <w:tcPr>
            <w:tcW w:type="dxa" w:w="1904"/>
            <w:shd w:val="clear" w:color="auto" w:fill="F5F8FF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Revenue ($M)</w:t>
            </w:r>
          </w:p>
        </w:tc>
        <w:tc>
          <w:tcPr>
            <w:tcW w:type="dxa" w:w="1904"/>
            <w:shd w:val="clear" w:color="auto" w:fill="F5F8FF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$2,489</w:t>
            </w:r>
          </w:p>
        </w:tc>
        <w:tc>
          <w:tcPr>
            <w:tcW w:type="dxa" w:w="1904"/>
            <w:shd w:val="clear" w:color="auto" w:fill="F5F8FF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~$2,489 (Flat QoQ)</w:t>
            </w:r>
          </w:p>
        </w:tc>
        <w:tc>
          <w:tcPr>
            <w:tcW w:type="dxa" w:w="1904"/>
            <w:shd w:val="clear" w:color="auto" w:fill="F5F8FF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~$2,520</w:t>
            </w:r>
          </w:p>
        </w:tc>
        <w:tc>
          <w:tcPr>
            <w:tcW w:type="dxa" w:w="1904"/>
            <w:shd w:val="clear" w:color="auto" w:fill="F5F8FF"/>
          </w:tcPr>
          <w:p>
            <w:pPr>
              <w:jc w:val="center"/>
            </w:pPr>
            <w:r>
              <w:rPr>
                <w:rFonts w:ascii="Times New Roman" w:hAnsi="Times New Roman"/>
                <w:color w:val="CC0000"/>
                <w:sz w:val="17"/>
              </w:rPr>
              <w:t>Slight Miss</w:t>
            </w:r>
          </w:p>
        </w:tc>
      </w:tr>
      <w:tr>
        <w:tc>
          <w:tcPr>
            <w:tcW w:type="dxa" w:w="1904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Gross Margin</w:t>
            </w:r>
          </w:p>
        </w:tc>
        <w:tc>
          <w:tcPr>
            <w:tcW w:type="dxa" w:w="190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19.2%</w:t>
            </w:r>
          </w:p>
        </w:tc>
        <w:tc>
          <w:tcPr>
            <w:tcW w:type="dxa" w:w="190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18% – 20%</w:t>
            </w:r>
          </w:p>
        </w:tc>
        <w:tc>
          <w:tcPr>
            <w:tcW w:type="dxa" w:w="1904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~20.9%</w:t>
            </w:r>
          </w:p>
        </w:tc>
        <w:tc>
          <w:tcPr>
            <w:tcW w:type="dxa" w:w="1904"/>
          </w:tcPr>
          <w:p>
            <w:pPr>
              <w:jc w:val="center"/>
            </w:pPr>
            <w:r>
              <w:rPr>
                <w:rFonts w:ascii="Times New Roman" w:hAnsi="Times New Roman"/>
                <w:color w:val="CC0000"/>
                <w:sz w:val="17"/>
              </w:rPr>
              <w:t>Below Mid</w:t>
            </w:r>
          </w:p>
        </w:tc>
      </w:tr>
      <w:tr>
        <w:tc>
          <w:tcPr>
            <w:tcW w:type="dxa" w:w="1904"/>
            <w:shd w:val="clear" w:color="auto" w:fill="F5F8FF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CapEx ($B)</w:t>
            </w:r>
          </w:p>
        </w:tc>
        <w:tc>
          <w:tcPr>
            <w:tcW w:type="dxa" w:w="1904"/>
            <w:shd w:val="clear" w:color="auto" w:fill="F5F8FF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~$1.6B (FY est.)</w:t>
            </w:r>
          </w:p>
        </w:tc>
        <w:tc>
          <w:tcPr>
            <w:tcW w:type="dxa" w:w="1904"/>
            <w:shd w:val="clear" w:color="auto" w:fill="F5F8FF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~Flat YoY (FY'26)</w:t>
            </w:r>
          </w:p>
        </w:tc>
        <w:tc>
          <w:tcPr>
            <w:tcW w:type="dxa" w:w="1904"/>
            <w:shd w:val="clear" w:color="auto" w:fill="F5F8FF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~$6.0B (FY'26)</w:t>
            </w:r>
          </w:p>
        </w:tc>
        <w:tc>
          <w:tcPr>
            <w:tcW w:type="dxa" w:w="1904"/>
            <w:shd w:val="clear" w:color="auto" w:fill="F5F8FF"/>
          </w:tcPr>
          <w:p>
            <w:pPr>
              <w:jc w:val="center"/>
            </w:pPr>
            <w:r>
              <w:rPr>
                <w:rFonts w:ascii="Times New Roman" w:hAnsi="Times New Roman"/>
                <w:color w:val="1A6B3A"/>
                <w:sz w:val="17"/>
              </w:rPr>
              <w:t>In-Line</w:t>
            </w:r>
          </w:p>
        </w:tc>
      </w:tr>
    </w:tbl>
    <w:p>
      <w:r>
        <w:rPr>
          <w:i/>
          <w:color w:val="444444"/>
          <w:sz w:val="15"/>
        </w:rPr>
        <w:t>Source: SMIC Q4 2025 Earnings Call Management Commentary (Feb 10, 2026); CLSA; Bloomberg Consensus</w:t>
      </w:r>
    </w:p>
    <w:p>
      <w:pPr>
        <w:spacing w:before="120" w:after="40"/>
      </w:pPr>
      <w:r>
        <w:rPr>
          <w:rFonts w:ascii="Times New Roman" w:hAnsi="Times New Roman"/>
          <w:b w:val="0"/>
          <w:i w:val="0"/>
          <w:color w:val="444444"/>
          <w:sz w:val="20"/>
        </w:rPr>
        <w:t>Management attributed Q1 2026 revenue flatness to seasonal weakness in low-end consumer electronics (IoT, appliances) and a cyclical inventory drawdown in the smartphone segment. This partially offsets accelerating demand from AI accelerator chips — namely Huawei Ascend 910C, where SMIC's 7nm yield has improved to ~40% (versus ~20% six months ago), making the product commercially profitable for the first time.</w:t>
      </w:r>
    </w:p>
    <w:p>
      <w:r>
        <w:br w:type="page"/>
      </w:r>
    </w:p>
    <w:p>
      <w:pPr>
        <w:spacing w:before="120" w:after="80"/>
      </w:pPr>
      <w:r>
        <w:rPr>
          <w:rFonts w:ascii="Times New Roman" w:hAnsi="Times New Roman"/>
          <w:b/>
          <w:color w:val="003366"/>
          <w:sz w:val="28"/>
        </w:rPr>
        <w:t>Beat / Miss Analysis &amp; Technology Update</w:t>
      </w:r>
    </w:p>
    <w:p>
      <w:pPr>
        <w:spacing w:before="40" w:after="40"/>
        <w:pBdr>
          <w:bottom w:val="single" w:sz="6" w:space="1" w:color="003366"/>
        </w:pBdr>
      </w:pPr>
    </w:p>
    <w:p>
      <w:pPr>
        <w:spacing w:before="120" w:after="80"/>
      </w:pPr>
      <w:r>
        <w:rPr>
          <w:rFonts w:ascii="Times New Roman" w:hAnsi="Times New Roman"/>
          <w:b/>
          <w:color w:val="003366"/>
          <w:sz w:val="24"/>
        </w:rPr>
        <w:t>7. Q4 2025 Beat / Miss Summary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0279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ic_chart4_beat_mis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2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i/>
          <w:color w:val="444444"/>
          <w:sz w:val="16"/>
        </w:rPr>
        <w:t>Figure 8: Q4 2025 Beat/Miss vs. Bloomberg Consensus | Source: SMIC Earnings Release; Bloomberg (Feb 10, 2026)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444444"/>
          <w:sz w:val="20"/>
        </w:rPr>
        <w:t>Revenue came in $69M or +2.8% above consensus, primarily driven by stronger-than-expected wafer shipment volumes in consumer electronics and higher ASPs from 12-inch wafer mix shift. Gross margin of 19.2% was the key miss versus consensus at 20.9% — a 1.7pp shortfall driven by the faster-than-expected depreciation step-up. Net income beat by $2.6M or +1.5%, as strong operating leverage offset the margin compression.</w:t>
      </w:r>
    </w:p>
    <w:p>
      <w:pPr>
        <w:spacing w:before="120" w:after="80"/>
      </w:pPr>
      <w:r>
        <w:rPr>
          <w:rFonts w:ascii="Times New Roman" w:hAnsi="Times New Roman"/>
          <w:b/>
          <w:color w:val="003366"/>
          <w:sz w:val="24"/>
        </w:rPr>
        <w:t>8. Technology Developments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444444"/>
          <w:sz w:val="20"/>
        </w:rPr>
        <w:t>7nm Process (N+2): SMIC's most advanced process node continues to improve. Yields on 7nm reportedly reached 60–70% in Q4 2025, up from below 40% at initial launch in H2 2023. Huawei procures approximately 15,000 wspm of SMIC's ~20,000 wspm 7nm total capacity, primarily for Kirin mobile SoCs and Ascend AI accelerators.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444444"/>
          <w:sz w:val="20"/>
        </w:rPr>
        <w:t>5nm Development (N+3): Reports suggest SMIC is developing a 5nm-class process using multi-patterning DUV lithography (without EUV access). Huawei's Kirin 9030, expected for mass production in H2 2026, may leverage this node. TrendForce estimates China's 7nm/5nm combined output could increase fivefold within two years, largely driven by SMIC.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444444"/>
          <w:sz w:val="20"/>
        </w:rPr>
        <w:t>Export Control Risk: In September 2025, the US Commerce Department added two Chinese firms (GMC Semiconductor Technology Wuxi; Jicun Semiconductor Technology Shanghai) to the Entity List for acquiring US-origin semiconductor equipment intended for SMIC's Beijing fabs. This continues the pattern of tightening export controls but has not materially disrupted SMIC's near-term equipment supply, as the company has been pre-building buffer inventory.</w:t>
      </w:r>
    </w:p>
    <w:p>
      <w:r>
        <w:br w:type="page"/>
      </w:r>
    </w:p>
    <w:p>
      <w:pPr>
        <w:spacing w:before="120" w:after="80"/>
      </w:pPr>
      <w:r>
        <w:rPr>
          <w:rFonts w:ascii="Times New Roman" w:hAnsi="Times New Roman"/>
          <w:b/>
          <w:color w:val="003366"/>
          <w:sz w:val="28"/>
        </w:rPr>
        <w:t>Updated Investment Thesis</w:t>
      </w:r>
    </w:p>
    <w:p>
      <w:pPr>
        <w:spacing w:before="40" w:after="40"/>
        <w:pBdr>
          <w:bottom w:val="single" w:sz="6" w:space="1" w:color="003366"/>
        </w:pBdr>
      </w:pPr>
    </w:p>
    <w:p>
      <w:pPr>
        <w:spacing w:before="120" w:after="80"/>
      </w:pPr>
      <w:r>
        <w:rPr>
          <w:rFonts w:ascii="Times New Roman" w:hAnsi="Times New Roman"/>
          <w:b/>
          <w:color w:val="003366"/>
          <w:sz w:val="24"/>
        </w:rPr>
        <w:t>9. Thesis Unchanged: Structural Story Intact Through Cycle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444444"/>
          <w:sz w:val="20"/>
        </w:rPr>
        <w:t>We maintain our OUTPERFORM rating and HKD 38.00 price target. The Q4 2025 results reinforce three core pillars of our investment thesis:</w:t>
      </w:r>
    </w:p>
    <w:p>
      <w:pPr>
        <w:pStyle w:val="ListBullet"/>
        <w:spacing w:before="20" w:after="20"/>
      </w:pPr>
      <w:r>
        <w:rPr>
          <w:rFonts w:ascii="Times New Roman" w:hAnsi="Times New Roman"/>
          <w:color w:val="444444"/>
          <w:sz w:val="20"/>
        </w:rPr>
        <w:t>China-First Demand Cycle: Domestic semiconductor content is increasing rapidly across consumer, industrial, and AI applications. SMIC's ~90% domestic revenue share positions it as the primary beneficiary of China's semiconductor self-sufficiency push, underpinned by government-backed demand and multi-year capacity commitments from key customers including Huawei, Qualcomm China, and domestic fabless designers.</w:t>
      </w:r>
    </w:p>
    <w:p>
      <w:pPr>
        <w:pStyle w:val="ListBullet"/>
        <w:spacing w:before="20" w:after="20"/>
      </w:pPr>
      <w:r>
        <w:rPr>
          <w:rFonts w:ascii="Times New Roman" w:hAnsi="Times New Roman"/>
          <w:color w:val="444444"/>
          <w:sz w:val="20"/>
        </w:rPr>
        <w:t>Technology Progress at Advanced Nodes: Yield improvements on 7nm from &lt;40% to 60–70% represent a significant operational milestone. At higher yields, 7nm economics become meaningful contributors to margins rather than drags. We expect 7nm contribution to expand from an estimated 8% of FY2025 revenue to ~12–15% of FY2026 revenue.</w:t>
      </w:r>
    </w:p>
    <w:p>
      <w:pPr>
        <w:pStyle w:val="ListBullet"/>
        <w:spacing w:before="20" w:after="20"/>
      </w:pPr>
      <w:r>
        <w:rPr>
          <w:rFonts w:ascii="Times New Roman" w:hAnsi="Times New Roman"/>
          <w:color w:val="444444"/>
          <w:sz w:val="20"/>
        </w:rPr>
        <w:t>Depreciation Headwind is Temporal, Not Structural: The Q4 2025 gross margin compression is entirely a function of depreciation timing — not a demand problem, not a pricing problem. As the new capacity enters its production ramp and revenue grows into the fixed cost base, we expect gross margins to recover toward 21–23% in H2 2026.</w:t>
      </w:r>
    </w:p>
    <w:p>
      <w:pPr>
        <w:spacing w:before="120" w:after="40"/>
      </w:pPr>
      <w:r>
        <w:rPr>
          <w:rFonts w:ascii="Times New Roman" w:hAnsi="Times New Roman"/>
          <w:b w:val="0"/>
          <w:i w:val="0"/>
          <w:color w:val="444444"/>
          <w:sz w:val="20"/>
        </w:rPr>
        <w:t>The key near-term risk to our thesis is margin trajectory: if the Q1 2026 gross margin disappoints at the low end of guidance (18%), markets may extrapolate a prolonged margin trough. We estimate the downside scenario is already reflected in current valuation at 1.8x P/S NTM versus TSMC's 8.5x.</w:t>
      </w:r>
    </w:p>
    <w:p>
      <w:pPr>
        <w:spacing w:before="120" w:after="80"/>
      </w:pPr>
      <w:r>
        <w:rPr>
          <w:rFonts w:ascii="Times New Roman" w:hAnsi="Times New Roman"/>
          <w:b/>
          <w:color w:val="003366"/>
          <w:sz w:val="24"/>
        </w:rPr>
        <w:t>10. Key Risks</w:t>
      </w:r>
    </w:p>
    <w:p>
      <w:pPr>
        <w:pStyle w:val="ListBullet"/>
        <w:spacing w:before="20" w:after="20"/>
      </w:pPr>
      <w:r>
        <w:rPr>
          <w:rFonts w:ascii="Times New Roman" w:hAnsi="Times New Roman"/>
          <w:color w:val="444444"/>
          <w:sz w:val="20"/>
        </w:rPr>
        <w:t>Margin Downside: Gross margins could remain below 20% through H1 2026 if wafer mix does not shift favorably toward higher-ASP nodes. Each 1pp of gross margin impacts EPS by approximately 5–6%.</w:t>
      </w:r>
    </w:p>
    <w:p>
      <w:pPr>
        <w:pStyle w:val="ListBullet"/>
        <w:spacing w:before="20" w:after="20"/>
      </w:pPr>
      <w:r>
        <w:rPr>
          <w:rFonts w:ascii="Times New Roman" w:hAnsi="Times New Roman"/>
          <w:color w:val="444444"/>
          <w:sz w:val="20"/>
        </w:rPr>
        <w:t>Export Control Escalation: Further US restrictions on DUV equipment access could limit SMIC's ability to develop sub-7nm nodes, constraining long-term competitive positioning against TSMC.</w:t>
      </w:r>
    </w:p>
    <w:p>
      <w:pPr>
        <w:pStyle w:val="ListBullet"/>
        <w:spacing w:before="20" w:after="20"/>
      </w:pPr>
      <w:r>
        <w:rPr>
          <w:rFonts w:ascii="Times New Roman" w:hAnsi="Times New Roman"/>
          <w:color w:val="444444"/>
          <w:sz w:val="20"/>
        </w:rPr>
        <w:t>Customer Concentration: Huawei accounts for an estimated 35–40% of revenue. Any geopolitical restriction specifically targeting Huawei's chip procurement could be severely disruptive.</w:t>
      </w:r>
    </w:p>
    <w:p>
      <w:pPr>
        <w:pStyle w:val="ListBullet"/>
        <w:spacing w:before="20" w:after="20"/>
      </w:pPr>
      <w:r>
        <w:rPr>
          <w:rFonts w:ascii="Times New Roman" w:hAnsi="Times New Roman"/>
          <w:color w:val="444444"/>
          <w:sz w:val="20"/>
        </w:rPr>
        <w:t>CapEx Execution Risk: SMIC plans ~$6.5B in FY2026 CapEx in an environment where equipment lead times remain extended. Delays in capacity additions could cause SMIC to lose share to Hua Hong or CXMT.</w:t>
      </w:r>
    </w:p>
    <w:p>
      <w:pPr>
        <w:pStyle w:val="ListBullet"/>
        <w:spacing w:before="20" w:after="20"/>
      </w:pPr>
      <w:r>
        <w:rPr>
          <w:rFonts w:ascii="Times New Roman" w:hAnsi="Times New Roman"/>
          <w:color w:val="444444"/>
          <w:sz w:val="20"/>
        </w:rPr>
        <w:t>Macro / Inventory Cycle: Consumer electronics destocking could extend into Q2 2026 if macro conditions in China deteriorate, pressuring utilization rates below 90%.</w:t>
      </w:r>
    </w:p>
    <w:p>
      <w:r>
        <w:br w:type="page"/>
      </w:r>
    </w:p>
    <w:p>
      <w:pPr>
        <w:spacing w:before="120" w:after="80"/>
      </w:pPr>
      <w:r>
        <w:rPr>
          <w:rFonts w:ascii="Times New Roman" w:hAnsi="Times New Roman"/>
          <w:b/>
          <w:color w:val="003366"/>
          <w:sz w:val="28"/>
        </w:rPr>
        <w:t>Valuation &amp; Updated Estimates</w:t>
      </w:r>
    </w:p>
    <w:p>
      <w:pPr>
        <w:spacing w:before="40" w:after="40"/>
        <w:pBdr>
          <w:bottom w:val="single" w:sz="6" w:space="1" w:color="003366"/>
        </w:pBdr>
      </w:pPr>
    </w:p>
    <w:p>
      <w:pPr>
        <w:spacing w:before="120" w:after="80"/>
      </w:pPr>
      <w:r>
        <w:rPr>
          <w:rFonts w:ascii="Times New Roman" w:hAnsi="Times New Roman"/>
          <w:b/>
          <w:color w:val="003366"/>
          <w:sz w:val="24"/>
        </w:rPr>
        <w:t>11. Valuation — Attractive Relative to Peers Despite Discount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444444"/>
          <w:sz w:val="20"/>
        </w:rPr>
        <w:t>SMIC trades at approximately 1.8x NTM P/S and 8.5x NTM EV/EBITDA, a deep discount to TSMC (8.5x P/S; 14.2x EV/EBITDA) and a modest discount to UMC (1.5x P/S) and GlobalFoundries (2.2x P/S). Given SMIC's superior growth profile (+16% FY2025, guided above-industry FY2026), we believe the discount is excessive and reflects geopolitical risk premium rather than fundamental undervaluation.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444444"/>
          <w:sz w:val="20"/>
        </w:rPr>
        <w:t>Our HKD 38.00 price target is based on 2.5x FY2026E P/S of $10.6B, implying a 39% upside from the March 14, 2026 closing price of HKD 28.40. We apply a 70% discount to TSMC's multiple to reflect SMIC's geopolitical risk, technology gap, and margin cyclicality.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2128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ic_chart10_valu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1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i/>
          <w:color w:val="444444"/>
          <w:sz w:val="16"/>
        </w:rPr>
        <w:t>Figure 9: SMIC vs. Foundry Peers — NTM P/S and EV/EBITDA | Source: Bloomberg; Company Filings; Analyst Consensus (Mar 2026)</w:t>
      </w:r>
    </w:p>
    <w:p>
      <w:pPr>
        <w:spacing w:before="120" w:after="80"/>
      </w:pPr>
      <w:r>
        <w:rPr>
          <w:rFonts w:ascii="Times New Roman" w:hAnsi="Times New Roman"/>
          <w:b/>
          <w:color w:val="003366"/>
          <w:sz w:val="24"/>
        </w:rPr>
        <w:t>12. Updated Estimates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5898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ic_chart9_estimat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58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i/>
          <w:color w:val="444444"/>
          <w:sz w:val="16"/>
        </w:rPr>
        <w:t>Figure 10: Revenue &amp; Gross Margin Estimates — Actuals &amp; Revisions | Source: SMIC Filings; Internal Estimates (Mar 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586"/>
            <w:shd w:val="clear" w:color="auto"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</w:r>
          </w:p>
        </w:tc>
        <w:tc>
          <w:tcPr>
            <w:tcW w:type="dxa" w:w="1586"/>
            <w:shd w:val="clear" w:color="auto"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FY2024A</w:t>
            </w:r>
          </w:p>
        </w:tc>
        <w:tc>
          <w:tcPr>
            <w:tcW w:type="dxa" w:w="1586"/>
            <w:shd w:val="clear" w:color="auto"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FY2025A</w:t>
            </w:r>
          </w:p>
        </w:tc>
        <w:tc>
          <w:tcPr>
            <w:tcW w:type="dxa" w:w="1586"/>
            <w:shd w:val="clear" w:color="auto"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FY2026E (New)</w:t>
            </w:r>
          </w:p>
        </w:tc>
        <w:tc>
          <w:tcPr>
            <w:tcW w:type="dxa" w:w="1586"/>
            <w:shd w:val="clear" w:color="auto"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FY2026E (Old)</w:t>
            </w:r>
          </w:p>
        </w:tc>
        <w:tc>
          <w:tcPr>
            <w:tcW w:type="dxa" w:w="1586"/>
            <w:shd w:val="clear" w:color="auto"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FY2027E</w:t>
            </w:r>
          </w:p>
        </w:tc>
      </w:tr>
      <w:tr>
        <w:tc>
          <w:tcPr>
            <w:tcW w:type="dxa" w:w="1586"/>
            <w:shd w:val="clear" w:color="auto" w:fill="F5F8FF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3366"/>
                <w:sz w:val="17"/>
              </w:rPr>
              <w:t>Revenue ($M)</w:t>
            </w:r>
          </w:p>
        </w:tc>
        <w:tc>
          <w:tcPr>
            <w:tcW w:type="dxa" w:w="1586"/>
            <w:shd w:val="clear" w:color="auto" w:fill="F5F8FF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8,028</w:t>
            </w:r>
          </w:p>
        </w:tc>
        <w:tc>
          <w:tcPr>
            <w:tcW w:type="dxa" w:w="1586"/>
            <w:shd w:val="clear" w:color="auto" w:fill="F5F8FF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9,327</w:t>
            </w:r>
          </w:p>
        </w:tc>
        <w:tc>
          <w:tcPr>
            <w:tcW w:type="dxa" w:w="1586"/>
            <w:shd w:val="clear" w:color="auto" w:fill="F5F8FF"/>
          </w:tcPr>
          <w:p>
            <w:pPr>
              <w:jc w:val="center"/>
            </w:pPr>
            <w:r>
              <w:rPr>
                <w:rFonts w:ascii="Times New Roman" w:hAnsi="Times New Roman"/>
                <w:color w:val="CC0000"/>
                <w:sz w:val="17"/>
              </w:rPr>
              <w:t>10,600</w:t>
            </w:r>
          </w:p>
        </w:tc>
        <w:tc>
          <w:tcPr>
            <w:tcW w:type="dxa" w:w="1586"/>
            <w:shd w:val="clear" w:color="auto" w:fill="F5F8FF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10,200</w:t>
            </w:r>
          </w:p>
        </w:tc>
        <w:tc>
          <w:tcPr>
            <w:tcW w:type="dxa" w:w="1586"/>
            <w:shd w:val="clear" w:color="auto" w:fill="F5F8FF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12,000</w:t>
            </w:r>
          </w:p>
        </w:tc>
      </w:tr>
      <w:tr>
        <w:tc>
          <w:tcPr>
            <w:tcW w:type="dxa" w:w="1586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3366"/>
                <w:sz w:val="17"/>
              </w:rPr>
              <w:t>Revenue Growth</w:t>
            </w:r>
          </w:p>
        </w:tc>
        <w:tc>
          <w:tcPr>
            <w:tcW w:type="dxa" w:w="158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-</w:t>
            </w:r>
          </w:p>
        </w:tc>
        <w:tc>
          <w:tcPr>
            <w:tcW w:type="dxa" w:w="158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+16.2%</w:t>
            </w:r>
          </w:p>
        </w:tc>
        <w:tc>
          <w:tcPr>
            <w:tcW w:type="dxa" w:w="158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+13.6%</w:t>
            </w:r>
          </w:p>
        </w:tc>
        <w:tc>
          <w:tcPr>
            <w:tcW w:type="dxa" w:w="158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+9.4%</w:t>
            </w:r>
          </w:p>
        </w:tc>
        <w:tc>
          <w:tcPr>
            <w:tcW w:type="dxa" w:w="158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+13.2%</w:t>
            </w:r>
          </w:p>
        </w:tc>
      </w:tr>
      <w:tr>
        <w:tc>
          <w:tcPr>
            <w:tcW w:type="dxa" w:w="1586"/>
            <w:shd w:val="clear" w:color="auto" w:fill="F5F8FF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3366"/>
                <w:sz w:val="17"/>
              </w:rPr>
              <w:t>Gross Profit ($M)</w:t>
            </w:r>
          </w:p>
        </w:tc>
        <w:tc>
          <w:tcPr>
            <w:tcW w:type="dxa" w:w="1586"/>
            <w:shd w:val="clear" w:color="auto" w:fill="F5F8FF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1,445</w:t>
            </w:r>
          </w:p>
        </w:tc>
        <w:tc>
          <w:tcPr>
            <w:tcW w:type="dxa" w:w="1586"/>
            <w:shd w:val="clear" w:color="auto" w:fill="F5F8FF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1,959</w:t>
            </w:r>
          </w:p>
        </w:tc>
        <w:tc>
          <w:tcPr>
            <w:tcW w:type="dxa" w:w="1586"/>
            <w:shd w:val="clear" w:color="auto" w:fill="F5F8FF"/>
          </w:tcPr>
          <w:p>
            <w:pPr>
              <w:jc w:val="center"/>
            </w:pPr>
            <w:r>
              <w:rPr>
                <w:rFonts w:ascii="Times New Roman" w:hAnsi="Times New Roman"/>
                <w:color w:val="CC0000"/>
                <w:sz w:val="17"/>
              </w:rPr>
              <w:t>2,067</w:t>
            </w:r>
          </w:p>
        </w:tc>
        <w:tc>
          <w:tcPr>
            <w:tcW w:type="dxa" w:w="1586"/>
            <w:shd w:val="clear" w:color="auto" w:fill="F5F8FF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2,091</w:t>
            </w:r>
          </w:p>
        </w:tc>
        <w:tc>
          <w:tcPr>
            <w:tcW w:type="dxa" w:w="1586"/>
            <w:shd w:val="clear" w:color="auto" w:fill="F5F8FF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2,580</w:t>
            </w:r>
          </w:p>
        </w:tc>
      </w:tr>
      <w:tr>
        <w:tc>
          <w:tcPr>
            <w:tcW w:type="dxa" w:w="1586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3366"/>
                <w:sz w:val="17"/>
              </w:rPr>
              <w:t>Gross Margin</w:t>
            </w:r>
          </w:p>
        </w:tc>
        <w:tc>
          <w:tcPr>
            <w:tcW w:type="dxa" w:w="158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18.0%</w:t>
            </w:r>
          </w:p>
        </w:tc>
        <w:tc>
          <w:tcPr>
            <w:tcW w:type="dxa" w:w="158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21.0%</w:t>
            </w:r>
          </w:p>
        </w:tc>
        <w:tc>
          <w:tcPr>
            <w:tcW w:type="dxa" w:w="1586"/>
          </w:tcPr>
          <w:p>
            <w:pPr>
              <w:jc w:val="center"/>
            </w:pPr>
            <w:r>
              <w:rPr>
                <w:rFonts w:ascii="Times New Roman" w:hAnsi="Times New Roman"/>
                <w:color w:val="CC0000"/>
                <w:sz w:val="17"/>
              </w:rPr>
              <w:t>19.5%</w:t>
            </w:r>
          </w:p>
        </w:tc>
        <w:tc>
          <w:tcPr>
            <w:tcW w:type="dxa" w:w="158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20.5%</w:t>
            </w:r>
          </w:p>
        </w:tc>
        <w:tc>
          <w:tcPr>
            <w:tcW w:type="dxa" w:w="158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21.5%</w:t>
            </w:r>
          </w:p>
        </w:tc>
      </w:tr>
      <w:tr>
        <w:tc>
          <w:tcPr>
            <w:tcW w:type="dxa" w:w="1586"/>
            <w:shd w:val="clear" w:color="auto" w:fill="F5F8FF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3366"/>
                <w:sz w:val="17"/>
              </w:rPr>
              <w:t>EBITDA ($M)</w:t>
            </w:r>
          </w:p>
        </w:tc>
        <w:tc>
          <w:tcPr>
            <w:tcW w:type="dxa" w:w="1586"/>
            <w:shd w:val="clear" w:color="auto" w:fill="F5F8FF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4,100</w:t>
            </w:r>
          </w:p>
        </w:tc>
        <w:tc>
          <w:tcPr>
            <w:tcW w:type="dxa" w:w="1586"/>
            <w:shd w:val="clear" w:color="auto" w:fill="F5F8FF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4,850</w:t>
            </w:r>
          </w:p>
        </w:tc>
        <w:tc>
          <w:tcPr>
            <w:tcW w:type="dxa" w:w="1586"/>
            <w:shd w:val="clear" w:color="auto" w:fill="F5F8FF"/>
          </w:tcPr>
          <w:p>
            <w:pPr>
              <w:jc w:val="center"/>
            </w:pPr>
            <w:r>
              <w:rPr>
                <w:rFonts w:ascii="Times New Roman" w:hAnsi="Times New Roman"/>
                <w:color w:val="CC0000"/>
                <w:sz w:val="17"/>
              </w:rPr>
              <w:t>5,300</w:t>
            </w:r>
          </w:p>
        </w:tc>
        <w:tc>
          <w:tcPr>
            <w:tcW w:type="dxa" w:w="1586"/>
            <w:shd w:val="clear" w:color="auto" w:fill="F5F8FF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5,100</w:t>
            </w:r>
          </w:p>
        </w:tc>
        <w:tc>
          <w:tcPr>
            <w:tcW w:type="dxa" w:w="1586"/>
            <w:shd w:val="clear" w:color="auto" w:fill="F5F8FF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6,200</w:t>
            </w:r>
          </w:p>
        </w:tc>
      </w:tr>
      <w:tr>
        <w:tc>
          <w:tcPr>
            <w:tcW w:type="dxa" w:w="1586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3366"/>
                <w:sz w:val="17"/>
              </w:rPr>
              <w:t>Net Income ($M)</w:t>
            </w:r>
          </w:p>
        </w:tc>
        <w:tc>
          <w:tcPr>
            <w:tcW w:type="dxa" w:w="158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490</w:t>
            </w:r>
          </w:p>
        </w:tc>
        <w:tc>
          <w:tcPr>
            <w:tcW w:type="dxa" w:w="158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666</w:t>
            </w:r>
          </w:p>
        </w:tc>
        <w:tc>
          <w:tcPr>
            <w:tcW w:type="dxa" w:w="1586"/>
          </w:tcPr>
          <w:p>
            <w:pPr>
              <w:jc w:val="center"/>
            </w:pPr>
            <w:r>
              <w:rPr>
                <w:rFonts w:ascii="Times New Roman" w:hAnsi="Times New Roman"/>
                <w:color w:val="CC0000"/>
                <w:sz w:val="17"/>
              </w:rPr>
              <w:t>720</w:t>
            </w:r>
          </w:p>
        </w:tc>
        <w:tc>
          <w:tcPr>
            <w:tcW w:type="dxa" w:w="158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700</w:t>
            </w:r>
          </w:p>
        </w:tc>
        <w:tc>
          <w:tcPr>
            <w:tcW w:type="dxa" w:w="158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950</w:t>
            </w:r>
          </w:p>
        </w:tc>
      </w:tr>
      <w:tr>
        <w:tc>
          <w:tcPr>
            <w:tcW w:type="dxa" w:w="1586"/>
            <w:shd w:val="clear" w:color="auto" w:fill="F5F8FF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3366"/>
                <w:sz w:val="17"/>
              </w:rPr>
              <w:t>EPS (USD)</w:t>
            </w:r>
          </w:p>
        </w:tc>
        <w:tc>
          <w:tcPr>
            <w:tcW w:type="dxa" w:w="1586"/>
            <w:shd w:val="clear" w:color="auto" w:fill="F5F8FF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0.046</w:t>
            </w:r>
          </w:p>
        </w:tc>
        <w:tc>
          <w:tcPr>
            <w:tcW w:type="dxa" w:w="1586"/>
            <w:shd w:val="clear" w:color="auto" w:fill="F5F8FF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0.063</w:t>
            </w:r>
          </w:p>
        </w:tc>
        <w:tc>
          <w:tcPr>
            <w:tcW w:type="dxa" w:w="1586"/>
            <w:shd w:val="clear" w:color="auto" w:fill="F5F8FF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0.068</w:t>
            </w:r>
          </w:p>
        </w:tc>
        <w:tc>
          <w:tcPr>
            <w:tcW w:type="dxa" w:w="1586"/>
            <w:shd w:val="clear" w:color="auto" w:fill="F5F8FF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0.066</w:t>
            </w:r>
          </w:p>
        </w:tc>
        <w:tc>
          <w:tcPr>
            <w:tcW w:type="dxa" w:w="1586"/>
            <w:shd w:val="clear" w:color="auto" w:fill="F5F8FF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0.090</w:t>
            </w:r>
          </w:p>
        </w:tc>
      </w:tr>
      <w:tr>
        <w:tc>
          <w:tcPr>
            <w:tcW w:type="dxa" w:w="1586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3366"/>
                <w:sz w:val="17"/>
              </w:rPr>
              <w:t>CapEx ($B)</w:t>
            </w:r>
          </w:p>
        </w:tc>
        <w:tc>
          <w:tcPr>
            <w:tcW w:type="dxa" w:w="158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5.7</w:t>
            </w:r>
          </w:p>
        </w:tc>
        <w:tc>
          <w:tcPr>
            <w:tcW w:type="dxa" w:w="158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6.5</w:t>
            </w:r>
          </w:p>
        </w:tc>
        <w:tc>
          <w:tcPr>
            <w:tcW w:type="dxa" w:w="158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~6.5</w:t>
            </w:r>
          </w:p>
        </w:tc>
        <w:tc>
          <w:tcPr>
            <w:tcW w:type="dxa" w:w="158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~6.0</w:t>
            </w:r>
          </w:p>
        </w:tc>
        <w:tc>
          <w:tcPr>
            <w:tcW w:type="dxa" w:w="158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~6.5</w:t>
            </w:r>
          </w:p>
        </w:tc>
      </w:tr>
      <w:tr>
        <w:tc>
          <w:tcPr>
            <w:tcW w:type="dxa" w:w="1586"/>
            <w:shd w:val="clear" w:color="auto" w:fill="F5F8FF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3366"/>
                <w:sz w:val="17"/>
              </w:rPr>
              <w:t>P/S (x)</w:t>
            </w:r>
          </w:p>
        </w:tc>
        <w:tc>
          <w:tcPr>
            <w:tcW w:type="dxa" w:w="1586"/>
            <w:shd w:val="clear" w:color="auto" w:fill="F5F8FF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2.2x</w:t>
            </w:r>
          </w:p>
        </w:tc>
        <w:tc>
          <w:tcPr>
            <w:tcW w:type="dxa" w:w="1586"/>
            <w:shd w:val="clear" w:color="auto" w:fill="F5F8FF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1.9x</w:t>
            </w:r>
          </w:p>
        </w:tc>
        <w:tc>
          <w:tcPr>
            <w:tcW w:type="dxa" w:w="1586"/>
            <w:shd w:val="clear" w:color="auto" w:fill="F5F8FF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1.7x</w:t>
            </w:r>
          </w:p>
        </w:tc>
        <w:tc>
          <w:tcPr>
            <w:tcW w:type="dxa" w:w="1586"/>
            <w:shd w:val="clear" w:color="auto" w:fill="F5F8FF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1.7x</w:t>
            </w:r>
          </w:p>
        </w:tc>
        <w:tc>
          <w:tcPr>
            <w:tcW w:type="dxa" w:w="1586"/>
            <w:shd w:val="clear" w:color="auto" w:fill="F5F8FF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1.5x</w:t>
            </w:r>
          </w:p>
        </w:tc>
      </w:tr>
      <w:tr>
        <w:tc>
          <w:tcPr>
            <w:tcW w:type="dxa" w:w="1586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3366"/>
                <w:sz w:val="17"/>
              </w:rPr>
              <w:t>EV/EBITDA (x)</w:t>
            </w:r>
          </w:p>
        </w:tc>
        <w:tc>
          <w:tcPr>
            <w:tcW w:type="dxa" w:w="158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9.2x</w:t>
            </w:r>
          </w:p>
        </w:tc>
        <w:tc>
          <w:tcPr>
            <w:tcW w:type="dxa" w:w="158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7.8x</w:t>
            </w:r>
          </w:p>
        </w:tc>
        <w:tc>
          <w:tcPr>
            <w:tcW w:type="dxa" w:w="158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7.1x</w:t>
            </w:r>
          </w:p>
        </w:tc>
        <w:tc>
          <w:tcPr>
            <w:tcW w:type="dxa" w:w="158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7.4x</w:t>
            </w:r>
          </w:p>
        </w:tc>
        <w:tc>
          <w:tcPr>
            <w:tcW w:type="dxa" w:w="1586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6.1x</w:t>
            </w:r>
          </w:p>
        </w:tc>
      </w:tr>
    </w:tbl>
    <w:p>
      <w:pPr>
        <w:spacing w:before="40"/>
      </w:pPr>
      <w:r>
        <w:rPr>
          <w:i/>
          <w:color w:val="444444"/>
          <w:sz w:val="15"/>
        </w:rPr>
        <w:t>Source: SMIC Annual Reports; SMIC Q4 2025 Earnings Release; Internal Analyst Estimates; Bloomberg Consensus as of Mar 2026.</w:t>
      </w:r>
    </w:p>
    <w:p>
      <w:pPr>
        <w:spacing w:before="80" w:after="40"/>
      </w:pPr>
      <w:r>
        <w:rPr>
          <w:rFonts w:ascii="Times New Roman" w:hAnsi="Times New Roman"/>
          <w:b w:val="0"/>
          <w:i/>
          <w:color w:val="444444"/>
          <w:sz w:val="18"/>
        </w:rPr>
        <w:t>Note: FY2026E gross margin revised down to 19.5% (from 20.5%) to reflect full-year depreciation step-up and slower margin recovery assumptions. Revenue estimate revised up to $10.6B (from $10.2B) on stronger-than-expected Q4 demand and above-industry guidance.</w:t>
      </w:r>
    </w:p>
    <w:p>
      <w:r>
        <w:br w:type="page"/>
      </w:r>
    </w:p>
    <w:p>
      <w:pPr>
        <w:spacing w:before="120" w:after="80"/>
      </w:pPr>
      <w:r>
        <w:rPr>
          <w:rFonts w:ascii="Times New Roman" w:hAnsi="Times New Roman"/>
          <w:b/>
          <w:color w:val="003366"/>
          <w:sz w:val="28"/>
        </w:rPr>
        <w:t>Sources &amp; References</w:t>
      </w:r>
    </w:p>
    <w:p>
      <w:pPr>
        <w:spacing w:before="40" w:after="40"/>
        <w:pBdr>
          <w:bottom w:val="single" w:sz="6" w:space="1" w:color="003366"/>
        </w:pBdr>
      </w:pPr>
    </w:p>
    <w:p>
      <w:pPr>
        <w:spacing w:before="40" w:after="40"/>
        <w:ind w:left="288"/>
      </w:pPr>
      <w:r>
        <w:rPr>
          <w:rFonts w:ascii="Times New Roman" w:hAnsi="Times New Roman"/>
          <w:color w:val="444444"/>
          <w:sz w:val="18"/>
        </w:rPr>
        <w:t xml:space="preserve">• </w:t>
      </w:r>
      <w:hyperlink r:id="rId19">
        <w:r>
          <w:rPr>
            <w:rStyle w:val="Hyperlink"/>
            <w:color w:val="0066CC"/>
            <w:u w:val="single"/>
          </w:rPr>
          <w:t>SMIC Official Earnings Release — Q4 2025 Results (Feb 10, 2026)</w:t>
        </w:r>
      </w:hyperlink>
    </w:p>
    <w:p>
      <w:pPr>
        <w:spacing w:before="40" w:after="40"/>
        <w:ind w:left="288"/>
      </w:pPr>
      <w:r>
        <w:rPr>
          <w:rFonts w:ascii="Times New Roman" w:hAnsi="Times New Roman"/>
          <w:color w:val="444444"/>
          <w:sz w:val="18"/>
        </w:rPr>
        <w:t xml:space="preserve">• </w:t>
      </w:r>
      <w:hyperlink r:id="rId20">
        <w:r>
          <w:rPr>
            <w:rStyle w:val="Hyperlink"/>
            <w:color w:val="0066CC"/>
            <w:u w:val="single"/>
          </w:rPr>
          <w:t>SMIC Q4 2025 Earnings Call Transcript (Feb 10, 2026) — Seeking Alpha</w:t>
        </w:r>
      </w:hyperlink>
    </w:p>
    <w:p>
      <w:pPr>
        <w:spacing w:before="40" w:after="40"/>
        <w:ind w:left="288"/>
      </w:pPr>
      <w:r>
        <w:rPr>
          <w:rFonts w:ascii="Times New Roman" w:hAnsi="Times New Roman"/>
          <w:color w:val="444444"/>
          <w:sz w:val="18"/>
        </w:rPr>
        <w:t xml:space="preserve">• </w:t>
      </w:r>
      <w:hyperlink r:id="rId21">
        <w:r>
          <w:rPr>
            <w:rStyle w:val="Hyperlink"/>
            <w:color w:val="0066CC"/>
            <w:u w:val="single"/>
          </w:rPr>
          <w:t>TrendForce: SMIC Posts Record $9.3B in 2025 Sales; 7nm Yields Reportedly Weigh on Margins (Feb 11, 2026)</w:t>
        </w:r>
      </w:hyperlink>
    </w:p>
    <w:p>
      <w:pPr>
        <w:spacing w:before="40" w:after="40"/>
        <w:ind w:left="288"/>
      </w:pPr>
      <w:r>
        <w:rPr>
          <w:rFonts w:ascii="Times New Roman" w:hAnsi="Times New Roman"/>
          <w:color w:val="444444"/>
          <w:sz w:val="18"/>
        </w:rPr>
        <w:t xml:space="preserve">• </w:t>
      </w:r>
      <w:hyperlink r:id="rId22">
        <w:r>
          <w:rPr>
            <w:rStyle w:val="Hyperlink"/>
            <w:color w:val="0066CC"/>
            <w:u w:val="single"/>
          </w:rPr>
          <w:t>Sharecast: SMIC smashes estimates as Q4 profits surge 61% (Feb 10, 2026)</w:t>
        </w:r>
      </w:hyperlink>
    </w:p>
    <w:p>
      <w:pPr>
        <w:spacing w:before="40" w:after="40"/>
        <w:ind w:left="288"/>
      </w:pPr>
      <w:r>
        <w:rPr>
          <w:rFonts w:ascii="Times New Roman" w:hAnsi="Times New Roman"/>
          <w:color w:val="444444"/>
          <w:sz w:val="18"/>
        </w:rPr>
        <w:t xml:space="preserve">• </w:t>
      </w:r>
      <w:hyperlink r:id="rId23">
        <w:r>
          <w:rPr>
            <w:rStyle w:val="Hyperlink"/>
            <w:color w:val="0066CC"/>
            <w:u w:val="single"/>
          </w:rPr>
          <w:t>CLSA Research Note: SMIC Q1 Revenue Guidance Meets Expectations; GM Slightly Weaker (Feb 10, 2026)</w:t>
        </w:r>
      </w:hyperlink>
    </w:p>
    <w:p>
      <w:pPr>
        <w:spacing w:before="40" w:after="40"/>
        <w:ind w:left="288"/>
      </w:pPr>
      <w:r>
        <w:rPr>
          <w:rFonts w:ascii="Times New Roman" w:hAnsi="Times New Roman"/>
          <w:color w:val="444444"/>
          <w:sz w:val="18"/>
        </w:rPr>
        <w:t xml:space="preserve">• </w:t>
      </w:r>
      <w:hyperlink r:id="rId24">
        <w:r>
          <w:rPr>
            <w:rStyle w:val="Hyperlink"/>
            <w:color w:val="0066CC"/>
            <w:u w:val="single"/>
          </w:rPr>
          <w:t>KR-Asia: SMIC posts revenue growth in Q4 as expansion weighs on margins (Feb 11, 2026)</w:t>
        </w:r>
      </w:hyperlink>
    </w:p>
    <w:p>
      <w:pPr>
        <w:spacing w:before="40" w:after="40"/>
        <w:ind w:left="288"/>
      </w:pPr>
      <w:r>
        <w:rPr>
          <w:rFonts w:ascii="Times New Roman" w:hAnsi="Times New Roman"/>
          <w:color w:val="444444"/>
          <w:sz w:val="18"/>
        </w:rPr>
        <w:t xml:space="preserve">• </w:t>
      </w:r>
      <w:hyperlink r:id="rId25">
        <w:r>
          <w:rPr>
            <w:rStyle w:val="Hyperlink"/>
            <w:color w:val="0066CC"/>
            <w:u w:val="single"/>
          </w:rPr>
          <w:t>TrendForce: China Aims to Boost 7nm/5nm Output Fivefold in Two Years (Feb 25, 2026)</w:t>
        </w:r>
      </w:hyperlink>
    </w:p>
    <w:p>
      <w:pPr>
        <w:spacing w:before="40" w:after="40"/>
        <w:ind w:left="288"/>
      </w:pPr>
      <w:r>
        <w:rPr>
          <w:rFonts w:ascii="Times New Roman" w:hAnsi="Times New Roman"/>
          <w:color w:val="444444"/>
          <w:sz w:val="18"/>
        </w:rPr>
        <w:t xml:space="preserve">• </w:t>
      </w:r>
      <w:hyperlink r:id="rId26">
        <w:r>
          <w:rPr>
            <w:rStyle w:val="Hyperlink"/>
            <w:color w:val="0066CC"/>
            <w:u w:val="single"/>
          </w:rPr>
          <w:t>Taipei Times: US Penalizes Firms That Acquired Tools for SMIC (Sep 15, 2025)</w:t>
        </w:r>
      </w:hyperlink>
    </w:p>
    <w:p>
      <w:pPr>
        <w:spacing w:before="40" w:after="40"/>
        <w:ind w:left="288"/>
      </w:pPr>
      <w:r>
        <w:rPr>
          <w:rFonts w:ascii="Times New Roman" w:hAnsi="Times New Roman"/>
          <w:color w:val="444444"/>
          <w:sz w:val="18"/>
        </w:rPr>
        <w:t xml:space="preserve">• </w:t>
      </w:r>
      <w:hyperlink r:id="rId27">
        <w:r>
          <w:rPr>
            <w:rStyle w:val="Hyperlink"/>
            <w:color w:val="0066CC"/>
            <w:u w:val="single"/>
          </w:rPr>
          <w:t>Edgen.tech: SMIC Projects Peer-Beating Growth After $9.3B 2025 Revenue (Feb 2026)</w:t>
        </w:r>
      </w:hyperlink>
    </w:p>
    <w:p>
      <w:pPr>
        <w:spacing w:before="40" w:after="40"/>
        <w:ind w:left="288"/>
      </w:pPr>
      <w:r>
        <w:rPr>
          <w:rFonts w:ascii="Times New Roman" w:hAnsi="Times New Roman"/>
          <w:color w:val="444444"/>
          <w:sz w:val="18"/>
        </w:rPr>
        <w:t xml:space="preserve">• </w:t>
      </w:r>
      <w:hyperlink r:id="rId28">
        <w:r>
          <w:rPr>
            <w:rStyle w:val="Hyperlink"/>
            <w:color w:val="0066CC"/>
            <w:u w:val="single"/>
          </w:rPr>
          <w:t>Futunn News: SMIC Q4 Earnings — Record Revenue &amp; Q1 Guidance (Feb 10, 2026)</w:t>
        </w:r>
      </w:hyperlink>
    </w:p>
    <w:p>
      <w:pPr>
        <w:spacing w:before="40" w:after="40"/>
        <w:ind w:left="288"/>
      </w:pPr>
      <w:r>
        <w:rPr>
          <w:rFonts w:ascii="Times New Roman" w:hAnsi="Times New Roman"/>
          <w:color w:val="444444"/>
          <w:sz w:val="18"/>
        </w:rPr>
        <w:t xml:space="preserve">• </w:t>
      </w:r>
      <w:hyperlink r:id="rId29">
        <w:r>
          <w:rPr>
            <w:rStyle w:val="Hyperlink"/>
            <w:color w:val="0066CC"/>
            <w:u w:val="single"/>
          </w:rPr>
          <w:t>SCMP: SMIC Expects Flat Revenue as Drop in Low-End Orders Offsets AI Chip Growth (Feb 10, 2026)</w:t>
        </w:r>
      </w:hyperlink>
    </w:p>
    <w:p>
      <w:pPr>
        <w:spacing w:before="40" w:after="40"/>
        <w:ind w:left="288"/>
      </w:pPr>
      <w:r>
        <w:rPr>
          <w:rFonts w:ascii="Times New Roman" w:hAnsi="Times New Roman"/>
          <w:color w:val="444444"/>
          <w:sz w:val="18"/>
        </w:rPr>
        <w:t xml:space="preserve">• </w:t>
      </w:r>
      <w:hyperlink r:id="rId30">
        <w:r>
          <w:rPr>
            <w:rStyle w:val="Hyperlink"/>
            <w:color w:val="0066CC"/>
            <w:u w:val="single"/>
          </w:rPr>
          <w:t>Simply Wall St: How SMIC's Q4 Profit and Flat Q1 Margin Outlook Will Impact Investors (Feb 2026)</w:t>
        </w:r>
      </w:hyperlink>
    </w:p>
    <w:p>
      <w:pPr>
        <w:spacing w:before="40" w:after="40"/>
        <w:ind w:left="288"/>
      </w:pPr>
      <w:r>
        <w:rPr>
          <w:rFonts w:ascii="Times New Roman" w:hAnsi="Times New Roman"/>
          <w:color w:val="444444"/>
          <w:sz w:val="18"/>
        </w:rPr>
        <w:t xml:space="preserve">• </w:t>
      </w:r>
      <w:hyperlink r:id="rId31">
        <w:r>
          <w:rPr>
            <w:rStyle w:val="Hyperlink"/>
            <w:color w:val="0066CC"/>
            <w:u w:val="single"/>
          </w:rPr>
          <w:t>Bloomberg Consensus Estimates (as of Feb 10, 2026)</w:t>
        </w:r>
      </w:hyperlink>
    </w:p>
    <w:p>
      <w:pPr>
        <w:spacing w:before="40" w:after="40"/>
        <w:ind w:left="288"/>
      </w:pPr>
      <w:r>
        <w:rPr>
          <w:rFonts w:ascii="Times New Roman" w:hAnsi="Times New Roman"/>
          <w:color w:val="444444"/>
          <w:sz w:val="18"/>
        </w:rPr>
        <w:t xml:space="preserve">• </w:t>
      </w:r>
      <w:hyperlink r:id="rId32">
        <w:r>
          <w:rPr>
            <w:rStyle w:val="Hyperlink"/>
            <w:color w:val="0066CC"/>
            <w:u w:val="single"/>
          </w:rPr>
          <w:t>LSEG Analyst Consensus (as of Feb 10, 2026)</w:t>
        </w:r>
      </w:hyperlink>
    </w:p>
    <w:p/>
    <w:p>
      <w:pPr>
        <w:spacing w:before="40" w:after="40"/>
        <w:pBdr>
          <w:bottom w:val="single" w:sz="6" w:space="1" w:color="003366"/>
        </w:pBdr>
      </w:pPr>
    </w:p>
    <w:p>
      <w:pPr>
        <w:spacing w:before="40" w:after="40"/>
      </w:pPr>
      <w:r>
        <w:rPr>
          <w:rFonts w:ascii="Times New Roman" w:hAnsi="Times New Roman"/>
          <w:b w:val="0"/>
          <w:i/>
          <w:color w:val="444444"/>
          <w:sz w:val="16"/>
        </w:rPr>
        <w:t>ANALYST CERTIFICATION &amp; IMPORTANT DISCLOSURES: This report was prepared for informational purposes. The analysts responsible for this report certify that the views expressed accurately reflect their personal views about the subject securities. This is a research report generated using publicly available information. Past performance is not indicative of future results. This report does not constitute investment advice.</w:t>
      </w:r>
    </w:p>
    <w:sectPr w:rsidR="00FC693F" w:rsidRPr="0006063C" w:rsidSect="00034616">
      <w:pgSz w:w="12240" w:h="15840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hyperlink" Target="https://www.smics.com/en/site/news_read/7949" TargetMode="External"/><Relationship Id="rId20" Type="http://schemas.openxmlformats.org/officeDocument/2006/relationships/hyperlink" Target="https://seekingalpha.com/article/4868483-semiconductor-manufacturing-international-corporation-siuif-q4-2025-earnings-call-transcript" TargetMode="External"/><Relationship Id="rId21" Type="http://schemas.openxmlformats.org/officeDocument/2006/relationships/hyperlink" Target="https://www.trendforce.com/news/2026/02/11/news-smic-posts-record-9-3b-in-2025-sales-7nm-yields-reportedly-weigh-on-margins/" TargetMode="External"/><Relationship Id="rId22" Type="http://schemas.openxmlformats.org/officeDocument/2006/relationships/hyperlink" Target="https://www.sharecast.com/news/international-companies/chipmaker-smic-smashes-estimates-with-61-surge-in-q4-profits--21644274.html" TargetMode="External"/><Relationship Id="rId23" Type="http://schemas.openxmlformats.org/officeDocument/2006/relationships/hyperlink" Target="https://news.futunn.com/en/post/68736865/clsa-smic-s-q1-revenue-guidance-meets-market-expectations-while" TargetMode="External"/><Relationship Id="rId24" Type="http://schemas.openxmlformats.org/officeDocument/2006/relationships/hyperlink" Target="https://kr-asia.com/smic-posts-revenue-growth-in-q4-as-expansion-weighs-on-margins" TargetMode="External"/><Relationship Id="rId25" Type="http://schemas.openxmlformats.org/officeDocument/2006/relationships/hyperlink" Target="https://www.trendforce.com/news/2026/02/25/news-china-reportedly-aims-to-boost-7nm-5nm-output-fivefold-in-two-years-driven-by-smic-and-hua-hong/" TargetMode="External"/><Relationship Id="rId26" Type="http://schemas.openxmlformats.org/officeDocument/2006/relationships/hyperlink" Target="https://www.taipeitimes.com/News/biz/archives/2025/09/15/2003843789" TargetMode="External"/><Relationship Id="rId27" Type="http://schemas.openxmlformats.org/officeDocument/2006/relationships/hyperlink" Target="https://www.edgen.tech/news/stock/smic-projects-peer-beating-growth-after-93b-2025-revenue" TargetMode="External"/><Relationship Id="rId28" Type="http://schemas.openxmlformats.org/officeDocument/2006/relationships/hyperlink" Target="https://news.futunn.com/en/post/68701909/smic-released-its-q4-earnings-report-quarterly-revenue-hit-a" TargetMode="External"/><Relationship Id="rId29" Type="http://schemas.openxmlformats.org/officeDocument/2006/relationships/hyperlink" Target="https://www.scmp.com/tech/big-tech/article/3343139/chinas-smic-expects-flat-revenue-drop-low-end-orders-offsets-ai-chip-growth" TargetMode="External"/><Relationship Id="rId30" Type="http://schemas.openxmlformats.org/officeDocument/2006/relationships/hyperlink" Target="https://simplywall.st/stocks/hk/semiconductors/hkg-981/semiconductor-manufacturing-international-shares/news/how-smics-q4-profit-and-flat-q1-margin-outlook-will-impact-s" TargetMode="External"/><Relationship Id="rId31" Type="http://schemas.openxmlformats.org/officeDocument/2006/relationships/hyperlink" Target="https://www.bloomberg.com" TargetMode="External"/><Relationship Id="rId32" Type="http://schemas.openxmlformats.org/officeDocument/2006/relationships/hyperlink" Target="https://www.lseg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