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黑体" w:hAnsi="黑体" w:eastAsia="黑体"/>
          <w:b/>
          <w:color w:val="8E8E93"/>
          <w:sz w:val="18"/>
        </w:rPr>
        <w:t>股票研究  |  铀矿及关键矿产</w:t>
      </w:r>
    </w:p>
    <w:p>
      <w:r>
        <w:rPr>
          <w:rFonts w:ascii="黑体" w:hAnsi="黑体" w:eastAsia="黑体"/>
          <w:b/>
          <w:color w:val="1C1C4D"/>
          <w:sz w:val="36"/>
        </w:rPr>
        <w:t>Energy Fuels Inc.（股票代码：UUUU / EFR.TSX）</w:t>
      </w:r>
    </w:p>
    <w:p>
      <w:pPr>
        <w:spacing w:after="80"/>
      </w:pPr>
      <w:r>
        <w:rPr>
          <w:rFonts w:ascii="黑体" w:hAnsi="黑体" w:eastAsia="黑体"/>
          <w:b/>
          <w:color w:val="0071E3"/>
          <w:sz w:val="22"/>
        </w:rPr>
        <w:t>2025年第四季度及全年业绩更新  |  评级：买入（市场一致）  |  目标价：$27.25（H.C. Wainwright）</w:t>
      </w:r>
    </w:p>
    <w:p>
      <w:pPr>
        <w:spacing w:after="160"/>
      </w:pPr>
      <w:r>
        <w:rPr>
          <w:rFonts w:ascii="宋体" w:hAnsi="宋体" w:eastAsia="宋体"/>
          <w:color w:val="8E8E93"/>
          <w:sz w:val="19"/>
        </w:rPr>
        <w:t>报告日期：2026年3月17日  |  业绩发布日：2026年2月26–27日  |  当前股价：约$18.67  |  市值：约$45.1亿</w:t>
      </w:r>
    </w:p>
    <w:p>
      <w:pPr>
        <w:pBdr>
          <w:bottom w:val="single" w:sz="4" w:space="1" w:color="CCCCCC"/>
        </w:pBdr>
        <w:spacing w:after="80"/>
      </w:pPr>
    </w:p>
    <w:p>
      <w:pPr>
        <w:spacing w:before="240" w:after="80"/>
        <w:pBdr>
          <w:bottom w:val="single" w:sz="6" w:space="1" w:color="1C1C4D"/>
        </w:pBdr>
      </w:pPr>
      <w:r>
        <w:rPr>
          <w:rFonts w:ascii="黑体" w:hAnsi="黑体" w:eastAsia="黑体"/>
          <w:b/>
          <w:color w:val="1C1C4D"/>
          <w:sz w:val="26"/>
        </w:rPr>
        <w:t>投资摘要</w:t>
      </w:r>
    </w:p>
    <w:p>
      <w:pPr>
        <w:spacing w:after="80"/>
      </w:pPr>
      <w:r>
        <w:rPr>
          <w:rFonts w:ascii="宋体" w:hAnsi="宋体" w:eastAsia="宋体"/>
          <w:b w:val="0"/>
          <w:i w:val="0"/>
          <w:sz w:val="21"/>
        </w:rPr>
        <w:t>Energy Fuels（UUUU）于2026年2月26–27日发布了2025年第四季度及全年业绩。公司在运营层面实现突破——铀矿开采量达172万磅U3O8（超出指引上限约11%），精制铀产量达101.5万磅，并完成7亿美元可转换票据发行，将营运资金推升至约9.274亿美元。第四季度营收为2,710万美元，全年营收为6,590万美元（2024年为7,810万美元），下降主要因肯尼亚Kwale重矿砂（HMS）业务停产。全年净亏损扩大至8,610万美元（每股亏损0.38美元），反映公司在铀矿、稀土元素（REE）、重矿砂及医疗同位素多条业务线上的激进扩张投入。</w:t>
      </w:r>
    </w:p>
    <w:p>
      <w:pPr>
        <w:spacing w:after="160"/>
      </w:pPr>
      <w:r>
        <w:rPr>
          <w:rFonts w:ascii="宋体" w:hAnsi="宋体" w:eastAsia="宋体"/>
          <w:b w:val="0"/>
          <w:i w:val="0"/>
          <w:sz w:val="21"/>
        </w:rPr>
        <w:t>正面亮点：铀矿单位成本从$53/磅降至$43/磅；签署六份长期供应合同（履约至2032年）；镝氧化物（Dy2O3）中试生产通过韩国汽车制造商认证；二期REE可行性研究显示净现值（NPV）为19亿美元（总投资4.1亿美元）；管理层交接安排落实（Ross Bhappu于2026年4月15日接任CEO）。负面方面：第四季度每股亏损（$0.08）较市场一致预期（$0.07）差$0.01。</w:t>
      </w:r>
    </w:p>
    <w:p>
      <w:pPr>
        <w:spacing w:before="160" w:after="40"/>
      </w:pPr>
      <w:r>
        <w:rPr>
          <w:rFonts w:ascii="黑体" w:hAnsi="黑体" w:eastAsia="黑体"/>
          <w:b/>
          <w:color w:val="0071E3"/>
          <w:sz w:val="22"/>
        </w:rPr>
        <w:t>关键指标一览</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31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指标</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2025年Q4</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2024年Q4</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2025年全年</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2024年全年</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总营收（百万美元）</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$27.1</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$39.9</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$65.9</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$78.1</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铀矿营收（百万美元）</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约$27.1</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约$12.6</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$48.2</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$37.9</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重矿砂营收（百万美元）</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约$27.3</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$15.8</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$39.9</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净利润/（亏损）（百万美元）</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（约$20.9）</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（$28.8）</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（$86.1）</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（$47.8）</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每股收益（基本）</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（$0.08）</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（$0.19）</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（$0.38）</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（$0.28）</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每股收益 vs 一致预期</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差$0.01（未达预期）</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差$0.12（未达预期）</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差$0.18（未达预期）</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营收 vs 一致预期</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超出$0.1M（超预期）</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铀矿销售量（千磅）</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360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约150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650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450</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加权平均实现价格（美元/磅）</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$74.93</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约$84.0</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$74.21</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$87.2</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营运资金（百万美元）</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$927.4</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$170.9</w:t>
            </w:r>
          </w:p>
        </w:tc>
      </w:tr>
    </w:tbl>
    <w:p>
      <w:pPr>
        <w:spacing w:after="80"/>
      </w:pPr>
      <w:r>
        <w:rPr>
          <w:rFonts w:ascii="宋体" w:hAnsi="宋体" w:eastAsia="宋体"/>
          <w:b w:val="0"/>
          <w:i/>
          <w:color w:val="8E8E93"/>
          <w:sz w:val="17"/>
        </w:rPr>
        <w:t>资料来源：Energy Fuels新闻稿（2026年2月26日；2025年12月29日）；Zacks；H.C. Wainwright研究报告。</w:t>
      </w:r>
    </w:p>
    <w:p>
      <w:pPr>
        <w:spacing w:after="200"/>
      </w:pPr>
      <w:r>
        <w:rPr>
          <w:rFonts w:ascii="宋体" w:hAnsi="宋体" w:eastAsia="宋体"/>
          <w:b w:val="0"/>
          <w:i w:val="0"/>
          <w:sz w:val="21"/>
        </w:rPr>
      </w:r>
    </w:p>
    <w:p>
      <w:pPr>
        <w:jc w:val="center"/>
      </w:pPr>
      <w:r>
        <w:drawing>
          <wp:inline xmlns:a="http://schemas.openxmlformats.org/drawingml/2006/main" xmlns:pic="http://schemas.openxmlformats.org/drawingml/2006/picture">
            <wp:extent cx="5943600" cy="3271101"/>
            <wp:docPr id="1" name="Picture 1"/>
            <wp:cNvGraphicFramePr>
              <a:graphicFrameLocks noChangeAspect="1"/>
            </wp:cNvGraphicFramePr>
            <a:graphic>
              <a:graphicData uri="http://schemas.openxmlformats.org/drawingml/2006/picture">
                <pic:pic>
                  <pic:nvPicPr>
                    <pic:cNvPr id="0" name="uuuu_chart1_revenue.png"/>
                    <pic:cNvPicPr/>
                  </pic:nvPicPr>
                  <pic:blipFill>
                    <a:blip r:embed="rId9"/>
                    <a:stretch>
                      <a:fillRect/>
                    </a:stretch>
                  </pic:blipFill>
                  <pic:spPr>
                    <a:xfrm>
                      <a:off x="0" y="0"/>
                      <a:ext cx="5943600" cy="3271101"/>
                    </a:xfrm>
                    <a:prstGeom prst="rect"/>
                  </pic:spPr>
                </pic:pic>
              </a:graphicData>
            </a:graphic>
          </wp:inline>
        </w:drawing>
      </w:r>
    </w:p>
    <w:p>
      <w:pPr>
        <w:spacing w:after="120"/>
        <w:jc w:val="center"/>
      </w:pPr>
      <w:r>
        <w:rPr>
          <w:rFonts w:ascii="宋体" w:hAnsi="宋体"/>
          <w:i/>
          <w:color w:val="8E8E93"/>
          <w:sz w:val="17"/>
        </w:rPr>
        <w:t>图1：UUUU各业务板块季度营收（2024年Q1–2025年Q4）</w:t>
      </w:r>
    </w:p>
    <w:p>
      <w:r>
        <w:br w:type="page"/>
      </w:r>
    </w:p>
    <w:p>
      <w:pPr>
        <w:spacing w:before="240" w:after="80"/>
        <w:pBdr>
          <w:bottom w:val="single" w:sz="6" w:space="1" w:color="1C1C4D"/>
        </w:pBdr>
      </w:pPr>
      <w:r>
        <w:rPr>
          <w:rFonts w:ascii="黑体" w:hAnsi="黑体" w:eastAsia="黑体"/>
          <w:b/>
          <w:color w:val="1C1C4D"/>
          <w:sz w:val="26"/>
        </w:rPr>
        <w:t>一、2025年第四季度详细业绩</w:t>
      </w:r>
    </w:p>
    <w:p>
      <w:pPr>
        <w:spacing w:before="160" w:after="40"/>
      </w:pPr>
      <w:r>
        <w:rPr>
          <w:rFonts w:ascii="黑体" w:hAnsi="黑体" w:eastAsia="黑体"/>
          <w:b/>
          <w:color w:val="0071E3"/>
          <w:sz w:val="22"/>
        </w:rPr>
        <w:t>营收与盈利</w:t>
      </w:r>
    </w:p>
    <w:p>
      <w:pPr>
        <w:spacing w:after="80"/>
      </w:pPr>
      <w:r>
        <w:rPr>
          <w:rFonts w:ascii="宋体" w:hAnsi="宋体" w:eastAsia="宋体"/>
          <w:b w:val="0"/>
          <w:i w:val="0"/>
          <w:sz w:val="21"/>
        </w:rPr>
        <w:t>2025年Q4总营收为2,710万美元，超出Zacks一致预期（2,700万美元）约0.38%（+10万美元）。相较于2024年Q4的3,990万美元，下降主要由于Kwale重矿砂矿山（2024年底完成回填封矿）贡献为零。铀浓缩物收入占本季度几乎全部营收。</w:t>
      </w:r>
    </w:p>
    <w:p>
      <w:pPr>
        <w:pStyle w:val="ListBullet"/>
        <w:spacing w:after="40"/>
        <w:ind w:left="360"/>
      </w:pPr>
      <w:r>
        <w:rPr>
          <w:rFonts w:ascii="宋体" w:hAnsi="宋体" w:eastAsia="宋体"/>
          <w:sz w:val="21"/>
        </w:rPr>
        <w:t>Q4 2025铀矿营收：约2,700万美元（36万磅 × $74.93/磅加权平均实现价格）</w:t>
      </w:r>
    </w:p>
    <w:p>
      <w:pPr>
        <w:pStyle w:val="ListBullet"/>
        <w:spacing w:after="40"/>
        <w:ind w:left="360"/>
      </w:pPr>
      <w:r>
        <w:rPr>
          <w:rFonts w:ascii="宋体" w:hAnsi="宋体" w:eastAsia="宋体"/>
          <w:sz w:val="21"/>
        </w:rPr>
        <w:t>重矿砂营收：极少/零（Kwale HMS已停产）</w:t>
      </w:r>
    </w:p>
    <w:p>
      <w:pPr>
        <w:pStyle w:val="ListBullet"/>
        <w:spacing w:after="40"/>
        <w:ind w:left="360"/>
      </w:pPr>
      <w:r>
        <w:rPr>
          <w:rFonts w:ascii="宋体" w:hAnsi="宋体" w:eastAsia="宋体"/>
          <w:sz w:val="21"/>
        </w:rPr>
        <w:t>五氧化二钒营收：零（持有90.5万磅V2O5库存，待市场好转后出售）</w:t>
      </w:r>
    </w:p>
    <w:p>
      <w:pPr>
        <w:pStyle w:val="ListBullet"/>
        <w:spacing w:after="40"/>
        <w:ind w:left="360"/>
      </w:pPr>
      <w:r>
        <w:rPr>
          <w:rFonts w:ascii="宋体" w:hAnsi="宋体" w:eastAsia="宋体"/>
          <w:sz w:val="21"/>
        </w:rPr>
        <w:t>REE/NdPr氧化物营收：中试阶段，Q4 2025无商业化REE销售收入入账</w:t>
      </w:r>
    </w:p>
    <w:p>
      <w:pPr>
        <w:spacing w:after="80"/>
      </w:pPr>
      <w:r>
        <w:rPr>
          <w:rFonts w:ascii="宋体" w:hAnsi="宋体" w:eastAsia="宋体"/>
          <w:b w:val="0"/>
          <w:i w:val="0"/>
          <w:sz w:val="21"/>
        </w:rPr>
      </w:r>
    </w:p>
    <w:p>
      <w:pPr>
        <w:spacing w:before="160" w:after="40"/>
      </w:pPr>
      <w:r>
        <w:rPr>
          <w:rFonts w:ascii="黑体" w:hAnsi="黑体" w:eastAsia="黑体"/>
          <w:b/>
          <w:color w:val="0071E3"/>
          <w:sz w:val="22"/>
        </w:rPr>
        <w:t>每股收益与净利润</w:t>
      </w:r>
    </w:p>
    <w:p>
      <w:pPr>
        <w:spacing w:after="80"/>
      </w:pPr>
      <w:r>
        <w:rPr>
          <w:rFonts w:ascii="宋体" w:hAnsi="宋体" w:eastAsia="宋体"/>
          <w:b w:val="0"/>
          <w:i w:val="0"/>
          <w:sz w:val="21"/>
        </w:rPr>
        <w:t>Q4 2025净亏损约2,090万美元，即每股亏损（$0.08），略差于市场一致预期（$0.07）——每股差$0.01。相较于2024年Q4的每股亏损（$0.19），盈利质量显著改善，反映铀矿单位经济效益的提升，尽管企业层面的可转换票据发行成本有所上升。</w:t>
      </w:r>
    </w:p>
    <w:p>
      <w:pPr>
        <w:pStyle w:val="ListBullet"/>
        <w:spacing w:after="40"/>
        <w:ind w:left="360"/>
      </w:pPr>
      <w:r>
        <w:rPr>
          <w:rFonts w:ascii="宋体" w:hAnsi="宋体" w:eastAsia="宋体"/>
          <w:sz w:val="21"/>
        </w:rPr>
        <w:t>Q4 2025 EPS：（$0.08）实际 vs（$0.07）预期  →  未达预期$0.01</w:t>
      </w:r>
    </w:p>
    <w:p>
      <w:pPr>
        <w:pStyle w:val="ListBullet"/>
        <w:spacing w:after="40"/>
        <w:ind w:left="360"/>
      </w:pPr>
      <w:r>
        <w:rPr>
          <w:rFonts w:ascii="宋体" w:hAnsi="宋体" w:eastAsia="宋体"/>
          <w:sz w:val="21"/>
        </w:rPr>
        <w:t>2024年Q4 EPS：（$0.19）  |  2025年Q3 EPS：（$0.07）  |  2025年Q2 EPS：（$0.10）</w:t>
      </w:r>
    </w:p>
    <w:p>
      <w:pPr>
        <w:spacing w:after="80"/>
      </w:pPr>
      <w:r>
        <w:rPr>
          <w:rFonts w:ascii="宋体" w:hAnsi="宋体" w:eastAsia="宋体"/>
          <w:b w:val="0"/>
          <w:i w:val="0"/>
          <w:sz w:val="21"/>
        </w:rPr>
      </w:r>
    </w:p>
    <w:p>
      <w:pPr>
        <w:spacing w:before="160" w:after="40"/>
      </w:pPr>
      <w:r>
        <w:rPr>
          <w:rFonts w:ascii="黑体" w:hAnsi="黑体" w:eastAsia="黑体"/>
          <w:b/>
          <w:color w:val="0071E3"/>
          <w:sz w:val="22"/>
        </w:rPr>
        <w:t>铀矿业务——2025年第四季度</w:t>
      </w:r>
    </w:p>
    <w:p>
      <w:pPr>
        <w:spacing w:after="80"/>
      </w:pPr>
      <w:r>
        <w:rPr>
          <w:rFonts w:ascii="宋体" w:hAnsi="宋体" w:eastAsia="宋体"/>
          <w:b w:val="0"/>
          <w:i w:val="0"/>
          <w:sz w:val="21"/>
        </w:rPr>
        <w:t>铀矿板块是Q4 2025业绩的核心驱动力。White Mesa磨矿厂于Q4 2025启动传统矿石处理流程（预计持续至2026年Q2），工厂展示了月均约25万磅的产能，其中2025年12月单月精制U3O8产量即达35万磅。</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60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指标</w:t>
            </w:r>
          </w:p>
        </w:tc>
        <w:tc>
          <w:tcPr>
            <w:tcW w:type="dxa" w:w="172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Q4 2025</w:t>
            </w:r>
          </w:p>
        </w:tc>
        <w:tc>
          <w:tcPr>
            <w:tcW w:type="dxa" w:w="172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Q3 2025</w:t>
            </w:r>
          </w:p>
        </w:tc>
        <w:tc>
          <w:tcPr>
            <w:tcW w:type="dxa" w:w="172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Q2 2025</w:t>
            </w:r>
          </w:p>
        </w:tc>
        <w:tc>
          <w:tcPr>
            <w:tcW w:type="dxa" w:w="172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Q1 2025</w:t>
            </w:r>
          </w:p>
        </w:tc>
      </w:tr>
      <w:tr>
        <w:tc>
          <w:tcPr>
            <w:tcW w:type="dxa" w:w="360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铀矿销售量（千磅）</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360</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240</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约150</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约50</w:t>
            </w:r>
          </w:p>
        </w:tc>
      </w:tr>
      <w:tr>
        <w:tc>
          <w:tcPr>
            <w:tcW w:type="dxa" w:w="360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加权平均实现价格（美元/磅）</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$74.93</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约$69.6（估）</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约$79.0（估）</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约$80.0（估）</w:t>
            </w:r>
          </w:p>
        </w:tc>
      </w:tr>
      <w:tr>
        <w:tc>
          <w:tcPr>
            <w:tcW w:type="dxa" w:w="360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铀矿营收（百万美元）</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约$27.0</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约$10.4</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约$4.2</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约$7.0</w:t>
            </w:r>
          </w:p>
        </w:tc>
      </w:tr>
      <w:tr>
        <w:tc>
          <w:tcPr>
            <w:tcW w:type="dxa" w:w="360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销售成本/磅（近似值）</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约$43</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约$43</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约$47</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约$50</w:t>
            </w:r>
          </w:p>
        </w:tc>
      </w:tr>
    </w:tbl>
    <w:p>
      <w:pPr>
        <w:spacing w:after="120"/>
      </w:pPr>
      <w:r>
        <w:rPr>
          <w:rFonts w:ascii="宋体" w:hAnsi="宋体" w:eastAsia="宋体"/>
          <w:b w:val="0"/>
          <w:i w:val="0"/>
          <w:sz w:val="21"/>
        </w:rPr>
      </w:r>
    </w:p>
    <w:p>
      <w:pPr>
        <w:jc w:val="center"/>
      </w:pPr>
      <w:r>
        <w:drawing>
          <wp:inline xmlns:a="http://schemas.openxmlformats.org/drawingml/2006/main" xmlns:pic="http://schemas.openxmlformats.org/drawingml/2006/picture">
            <wp:extent cx="5943600" cy="3039689"/>
            <wp:docPr id="2" name="Picture 2"/>
            <wp:cNvGraphicFramePr>
              <a:graphicFrameLocks noChangeAspect="1"/>
            </wp:cNvGraphicFramePr>
            <a:graphic>
              <a:graphicData uri="http://schemas.openxmlformats.org/drawingml/2006/picture">
                <pic:pic>
                  <pic:nvPicPr>
                    <pic:cNvPr id="0" name="uuuu_chart2_uranium_ops.png"/>
                    <pic:cNvPicPr/>
                  </pic:nvPicPr>
                  <pic:blipFill>
                    <a:blip r:embed="rId10"/>
                    <a:stretch>
                      <a:fillRect/>
                    </a:stretch>
                  </pic:blipFill>
                  <pic:spPr>
                    <a:xfrm>
                      <a:off x="0" y="0"/>
                      <a:ext cx="5943600" cy="3039689"/>
                    </a:xfrm>
                    <a:prstGeom prst="rect"/>
                  </pic:spPr>
                </pic:pic>
              </a:graphicData>
            </a:graphic>
          </wp:inline>
        </w:drawing>
      </w:r>
    </w:p>
    <w:p>
      <w:pPr>
        <w:spacing w:after="120"/>
        <w:jc w:val="center"/>
      </w:pPr>
      <w:r>
        <w:rPr>
          <w:rFonts w:ascii="宋体" w:hAnsi="宋体"/>
          <w:i/>
          <w:color w:val="8E8E93"/>
          <w:sz w:val="17"/>
        </w:rPr>
        <w:t>图2：铀矿销售量及每磅实现价格（2024年Q1–2025年Q4）</w:t>
      </w:r>
    </w:p>
    <w:p>
      <w:pPr>
        <w:spacing w:before="160" w:after="40"/>
      </w:pPr>
      <w:r>
        <w:rPr>
          <w:rFonts w:ascii="黑体" w:hAnsi="黑体" w:eastAsia="黑体"/>
          <w:b/>
          <w:color w:val="0071E3"/>
          <w:sz w:val="22"/>
        </w:rPr>
        <w:t>五氧化二钒（V2O5）</w:t>
      </w:r>
    </w:p>
    <w:p>
      <w:pPr>
        <w:spacing w:after="80"/>
      </w:pPr>
      <w:r>
        <w:rPr>
          <w:rFonts w:ascii="宋体" w:hAnsi="宋体" w:eastAsia="宋体"/>
          <w:b w:val="0"/>
          <w:i w:val="0"/>
          <w:sz w:val="21"/>
        </w:rPr>
        <w:t>截至2025年Q3，公司持有90.5万磅精制五氧化二钒库存。公司选择在市场价格达到管理层目标价之前不出售，2025年全年及2024年全年钒矿销售收入均为零。钒库存代表着对未来钒价上涨的实物期权，当前钒价约为$6–7/磅。</w:t>
      </w:r>
    </w:p>
    <w:p>
      <w:pPr>
        <w:spacing w:before="160" w:after="40"/>
      </w:pPr>
      <w:r>
        <w:rPr>
          <w:rFonts w:ascii="黑体" w:hAnsi="黑体" w:eastAsia="黑体"/>
          <w:b/>
          <w:color w:val="0071E3"/>
          <w:sz w:val="22"/>
        </w:rPr>
        <w:t>稀土元素（REE）——2025年第四季度里程碑</w:t>
      </w:r>
    </w:p>
    <w:p>
      <w:pPr>
        <w:spacing w:after="80"/>
      </w:pPr>
      <w:r>
        <w:rPr>
          <w:rFonts w:ascii="宋体" w:hAnsi="宋体" w:eastAsia="宋体"/>
          <w:b w:val="0"/>
          <w:i w:val="0"/>
          <w:sz w:val="21"/>
        </w:rPr>
        <w:t>2025年Q4及全年均未确认商业化REE销售收入（分离稀土氧化物仍处中试阶段）。但公司取得以下重要里程碑：</w:t>
      </w:r>
    </w:p>
    <w:p>
      <w:pPr>
        <w:pStyle w:val="ListBullet"/>
        <w:spacing w:after="40"/>
        <w:ind w:left="360"/>
      </w:pPr>
      <w:r>
        <w:rPr>
          <w:rFonts w:ascii="宋体" w:hAnsi="宋体" w:eastAsia="宋体"/>
          <w:sz w:val="21"/>
        </w:rPr>
        <w:t>截至2025年Q3，White Mesa磨矿厂共生产29千克纯度99.9%的镝（Dy）氧化物</w:t>
      </w:r>
    </w:p>
    <w:p>
      <w:pPr>
        <w:pStyle w:val="ListBullet"/>
        <w:spacing w:after="40"/>
        <w:ind w:left="360"/>
      </w:pPr>
      <w:r>
        <w:rPr>
          <w:rFonts w:ascii="宋体" w:hAnsi="宋体" w:eastAsia="宋体"/>
          <w:sz w:val="21"/>
        </w:rPr>
        <w:t>Dy氧化物通过韩国主要汽车制造商认证（用于电动汽车驱动电机永磁体）</w:t>
      </w:r>
    </w:p>
    <w:p>
      <w:pPr>
        <w:pStyle w:val="ListBullet"/>
        <w:spacing w:after="40"/>
        <w:ind w:left="360"/>
      </w:pPr>
      <w:r>
        <w:rPr>
          <w:rFonts w:ascii="宋体" w:hAnsi="宋体" w:eastAsia="宋体"/>
          <w:sz w:val="21"/>
        </w:rPr>
        <w:t>1.2吨NdPr氧化物成功制造约3.0吨稀土永磁体，驱动约1,500辆电动汽车</w:t>
      </w:r>
    </w:p>
    <w:p>
      <w:pPr>
        <w:pStyle w:val="ListBullet"/>
        <w:spacing w:after="40"/>
        <w:ind w:left="360"/>
      </w:pPr>
      <w:r>
        <w:rPr>
          <w:rFonts w:ascii="宋体" w:hAnsi="宋体" w:eastAsia="宋体"/>
          <w:sz w:val="21"/>
        </w:rPr>
        <w:t>铽（Tb）氧化物首批量产目标为2026年Q1初</w:t>
      </w:r>
    </w:p>
    <w:p>
      <w:pPr>
        <w:pStyle w:val="ListBullet"/>
        <w:spacing w:after="40"/>
        <w:ind w:left="360"/>
      </w:pPr>
      <w:r>
        <w:rPr>
          <w:rFonts w:ascii="宋体" w:hAnsi="宋体" w:eastAsia="宋体"/>
          <w:sz w:val="21"/>
        </w:rPr>
        <w:t>截至2025年Q3库存：37,000千克精制NdPr氧化物；9,000千克Sm+重稀土碳酸盐</w:t>
      </w:r>
    </w:p>
    <w:p>
      <w:pPr>
        <w:spacing w:after="80"/>
      </w:pPr>
      <w:r>
        <w:rPr>
          <w:rFonts w:ascii="宋体" w:hAnsi="宋体" w:eastAsia="宋体"/>
          <w:b w:val="0"/>
          <w:i w:val="0"/>
          <w:sz w:val="21"/>
        </w:rPr>
      </w:r>
    </w:p>
    <w:p>
      <w:pPr>
        <w:jc w:val="center"/>
      </w:pPr>
      <w:r>
        <w:drawing>
          <wp:inline xmlns:a="http://schemas.openxmlformats.org/drawingml/2006/main" xmlns:pic="http://schemas.openxmlformats.org/drawingml/2006/picture">
            <wp:extent cx="5943600" cy="2976088"/>
            <wp:docPr id="3" name="Picture 3"/>
            <wp:cNvGraphicFramePr>
              <a:graphicFrameLocks noChangeAspect="1"/>
            </wp:cNvGraphicFramePr>
            <a:graphic>
              <a:graphicData uri="http://schemas.openxmlformats.org/drawingml/2006/picture">
                <pic:pic>
                  <pic:nvPicPr>
                    <pic:cNvPr id="0" name="uuuu_chart3_net_income.png"/>
                    <pic:cNvPicPr/>
                  </pic:nvPicPr>
                  <pic:blipFill>
                    <a:blip r:embed="rId11"/>
                    <a:stretch>
                      <a:fillRect/>
                    </a:stretch>
                  </pic:blipFill>
                  <pic:spPr>
                    <a:xfrm>
                      <a:off x="0" y="0"/>
                      <a:ext cx="5943600" cy="2976088"/>
                    </a:xfrm>
                    <a:prstGeom prst="rect"/>
                  </pic:spPr>
                </pic:pic>
              </a:graphicData>
            </a:graphic>
          </wp:inline>
        </w:drawing>
      </w:r>
    </w:p>
    <w:p>
      <w:pPr>
        <w:spacing w:after="120"/>
        <w:jc w:val="center"/>
      </w:pPr>
      <w:r>
        <w:rPr>
          <w:rFonts w:ascii="宋体" w:hAnsi="宋体"/>
          <w:i/>
          <w:color w:val="8E8E93"/>
          <w:sz w:val="17"/>
        </w:rPr>
        <w:t>图3：季度净利润/（亏损）及每股收益（2024年Q1–2025年Q4）</w:t>
      </w:r>
    </w:p>
    <w:p>
      <w:pPr>
        <w:jc w:val="center"/>
      </w:pPr>
      <w:r>
        <w:drawing>
          <wp:inline xmlns:a="http://schemas.openxmlformats.org/drawingml/2006/main" xmlns:pic="http://schemas.openxmlformats.org/drawingml/2006/picture">
            <wp:extent cx="5943600" cy="2465395"/>
            <wp:docPr id="4" name="Picture 4"/>
            <wp:cNvGraphicFramePr>
              <a:graphicFrameLocks noChangeAspect="1"/>
            </wp:cNvGraphicFramePr>
            <a:graphic>
              <a:graphicData uri="http://schemas.openxmlformats.org/drawingml/2006/picture">
                <pic:pic>
                  <pic:nvPicPr>
                    <pic:cNvPr id="0" name="uuuu_chart4_beat_miss.png"/>
                    <pic:cNvPicPr/>
                  </pic:nvPicPr>
                  <pic:blipFill>
                    <a:blip r:embed="rId12"/>
                    <a:stretch>
                      <a:fillRect/>
                    </a:stretch>
                  </pic:blipFill>
                  <pic:spPr>
                    <a:xfrm>
                      <a:off x="0" y="0"/>
                      <a:ext cx="5943600" cy="2465395"/>
                    </a:xfrm>
                    <a:prstGeom prst="rect"/>
                  </pic:spPr>
                </pic:pic>
              </a:graphicData>
            </a:graphic>
          </wp:inline>
        </w:drawing>
      </w:r>
    </w:p>
    <w:p>
      <w:pPr>
        <w:spacing w:after="120"/>
        <w:jc w:val="center"/>
      </w:pPr>
      <w:r>
        <w:rPr>
          <w:rFonts w:ascii="宋体" w:hAnsi="宋体"/>
          <w:i/>
          <w:color w:val="8E8E93"/>
          <w:sz w:val="17"/>
        </w:rPr>
        <w:t>图4：2025年各季度实际业绩 vs 一致预期</w:t>
      </w:r>
    </w:p>
    <w:p>
      <w:r>
        <w:br w:type="page"/>
      </w:r>
    </w:p>
    <w:p>
      <w:pPr>
        <w:spacing w:before="240" w:after="80"/>
        <w:pBdr>
          <w:bottom w:val="single" w:sz="6" w:space="1" w:color="1C1C4D"/>
        </w:pBdr>
      </w:pPr>
      <w:r>
        <w:rPr>
          <w:rFonts w:ascii="黑体" w:hAnsi="黑体" w:eastAsia="黑体"/>
          <w:b/>
          <w:color w:val="1C1C4D"/>
          <w:sz w:val="26"/>
        </w:rPr>
        <w:t>二、2025年全年业绩</w:t>
      </w:r>
    </w:p>
    <w:p>
      <w:pPr>
        <w:spacing w:before="160" w:after="40"/>
      </w:pPr>
      <w:r>
        <w:rPr>
          <w:rFonts w:ascii="黑体" w:hAnsi="黑体" w:eastAsia="黑体"/>
          <w:b/>
          <w:color w:val="0071E3"/>
          <w:sz w:val="22"/>
        </w:rPr>
        <w:t>利润表摘要</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31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项目</w:t>
            </w:r>
          </w:p>
        </w:tc>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2025年全年</w:t>
            </w:r>
          </w:p>
        </w:tc>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2024年全年</w:t>
            </w:r>
          </w:p>
        </w:tc>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变动幅度</w:t>
            </w:r>
          </w:p>
        </w:tc>
        <w:tc>
          <w:tcPr>
            <w:tcW w:type="dxa" w:w="316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备注</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总营收（百万美元）</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$65.9</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$78.1</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–15.6%</w:t>
            </w:r>
          </w:p>
        </w:tc>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Kwale HMS停产影响</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 xml:space="preserve">  铀浓缩物</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$48.2</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$37.9</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+27.2%</w:t>
            </w:r>
          </w:p>
        </w:tc>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65万磅@$74.21/磅</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 xml:space="preserve">  重矿砂</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$15.8</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$39.9</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–60.4%</w:t>
            </w:r>
          </w:p>
        </w:tc>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Kwale末年/Donald待产</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 xml:space="preserve">  五氧化二钒</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90.5万磅存库未售</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 xml:space="preserve">  稀土/其他</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约$1.9</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约$0.3</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中试规模/极少</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毛利润（百万美元）</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约$20.3</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约$28.2</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–28.0%</w:t>
            </w:r>
          </w:p>
        </w:tc>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铀矿毛利率约42%</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经营亏损（百万美元）</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（约$58）</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（约$19）</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含管理费用+勘探+折旧</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净亏损（百万美元）</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（$86.1）</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（$47.8）</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–80.1%</w:t>
            </w:r>
          </w:p>
        </w:tc>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含可转换票据发行费用</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每股净亏损</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（$0.38）</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（$0.28）</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–35.7%</w:t>
            </w:r>
          </w:p>
        </w:tc>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摊薄股数约2.26亿股</w:t>
            </w:r>
          </w:p>
        </w:tc>
      </w:tr>
    </w:tbl>
    <w:p>
      <w:pPr>
        <w:spacing w:after="80"/>
      </w:pPr>
      <w:r>
        <w:rPr>
          <w:rFonts w:ascii="宋体" w:hAnsi="宋体" w:eastAsia="宋体"/>
          <w:b w:val="0"/>
          <w:i/>
          <w:color w:val="8E8E93"/>
          <w:sz w:val="17"/>
        </w:rPr>
        <w:t>资料来源：Energy Fuels新闻稿，2026年2月26日（美通社）。</w:t>
      </w:r>
    </w:p>
    <w:p>
      <w:pPr>
        <w:spacing w:after="120"/>
      </w:pPr>
      <w:r>
        <w:rPr>
          <w:rFonts w:ascii="宋体" w:hAnsi="宋体" w:eastAsia="宋体"/>
          <w:b w:val="0"/>
          <w:i w:val="0"/>
          <w:sz w:val="21"/>
        </w:rPr>
      </w:r>
    </w:p>
    <w:p>
      <w:pPr>
        <w:spacing w:before="160" w:after="40"/>
      </w:pPr>
      <w:r>
        <w:rPr>
          <w:rFonts w:ascii="黑体" w:hAnsi="黑体" w:eastAsia="黑体"/>
          <w:b/>
          <w:color w:val="0071E3"/>
          <w:sz w:val="22"/>
        </w:rPr>
        <w:t>铀矿板块——2025年全年</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指标</w:t>
            </w:r>
          </w:p>
        </w:tc>
        <w:tc>
          <w:tcPr>
            <w:tcW w:type="dxa" w:w="288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2025年全年</w:t>
            </w:r>
          </w:p>
        </w:tc>
        <w:tc>
          <w:tcPr>
            <w:tcW w:type="dxa" w:w="288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2024年全年</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铀矿销售量（千磅）</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650</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450</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加权平均实现价格（美元/磅）</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$74.21</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$87.2</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 xml:space="preserve">  现货销售</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35万磅@$76.90/磅</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25万磅@$91.51/磅</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 xml:space="preserve">  长期合同销售</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30万磅@$71.06/磅</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20万磅@$75.13/磅</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铀矿营收（百万美元）</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$48.2</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$37.9</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销售成本/磅（加权平均）</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约$43</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约$53</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铀矿毛利率</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约42%</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约56%</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开采矿量（百万磅U3O8）</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1.72</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1.10</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精制/成品产量（百万磅）</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1.015</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0.55</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长期供应合同数量</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6份（履约至2032年）</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4份</w:t>
            </w:r>
          </w:p>
        </w:tc>
      </w:tr>
    </w:tbl>
    <w:p>
      <w:pPr>
        <w:spacing w:after="80"/>
      </w:pPr>
      <w:r>
        <w:rPr>
          <w:rFonts w:ascii="宋体" w:hAnsi="宋体" w:eastAsia="宋体"/>
          <w:b w:val="0"/>
          <w:i w:val="0"/>
          <w:sz w:val="21"/>
        </w:rPr>
      </w:r>
    </w:p>
    <w:p>
      <w:pPr>
        <w:spacing w:before="160" w:after="40"/>
      </w:pPr>
      <w:r>
        <w:rPr>
          <w:rFonts w:ascii="黑体" w:hAnsi="黑体" w:eastAsia="黑体"/>
          <w:b/>
          <w:color w:val="0071E3"/>
          <w:sz w:val="22"/>
        </w:rPr>
        <w:t>铀矿库存（截至2025年12月31日）</w:t>
      </w:r>
    </w:p>
    <w:tbl>
      <w:tblPr>
        <w:tblStyle w:val="TableGrid"/>
        <w:tblW w:type="auto" w:w="0"/>
        <w:jc w:val="center"/>
        <w:tblLook w:firstColumn="1" w:firstRow="1" w:lastColumn="0" w:lastRow="0" w:noHBand="0" w:noVBand="1" w:val="04A0"/>
      </w:tblPr>
      <w:tblGrid>
        <w:gridCol w:w="3324"/>
        <w:gridCol w:w="3324"/>
        <w:gridCol w:w="3324"/>
      </w:tblGrid>
      <w:tr>
        <w:tc>
          <w:tcPr>
            <w:tcW w:type="dxa" w:w="403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类别</w:t>
            </w:r>
          </w:p>
        </w:tc>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磅数（U3O8）</w:t>
            </w:r>
          </w:p>
        </w:tc>
        <w:tc>
          <w:tcPr>
            <w:tcW w:type="dxa" w:w="4176"/>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备注</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开采矿石/矿化材料</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1,240,000磅</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地下及地表矿堆</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在制品</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130,000磅</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位于White Mesa磨矿厂</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成品U3O8</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810,000磅</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可交付/出售</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合计</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约2,180,000磅</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约为2024年底约98万磅的2.2倍</w:t>
            </w:r>
          </w:p>
        </w:tc>
      </w:tr>
    </w:tbl>
    <w:p>
      <w:pPr>
        <w:spacing w:after="160"/>
      </w:pPr>
      <w:r>
        <w:rPr>
          <w:rFonts w:ascii="宋体" w:hAnsi="宋体" w:eastAsia="宋体"/>
          <w:b w:val="0"/>
          <w:i w:val="0"/>
          <w:sz w:val="21"/>
        </w:rPr>
      </w:r>
    </w:p>
    <w:p>
      <w:pPr>
        <w:jc w:val="center"/>
      </w:pPr>
      <w:r>
        <w:drawing>
          <wp:inline xmlns:a="http://schemas.openxmlformats.org/drawingml/2006/main" xmlns:pic="http://schemas.openxmlformats.org/drawingml/2006/picture">
            <wp:extent cx="5943600" cy="3469666"/>
            <wp:docPr id="5" name="Picture 5"/>
            <wp:cNvGraphicFramePr>
              <a:graphicFrameLocks noChangeAspect="1"/>
            </wp:cNvGraphicFramePr>
            <a:graphic>
              <a:graphicData uri="http://schemas.openxmlformats.org/drawingml/2006/picture">
                <pic:pic>
                  <pic:nvPicPr>
                    <pic:cNvPr id="0" name="uuuu_chart5_annual_revenue.png"/>
                    <pic:cNvPicPr/>
                  </pic:nvPicPr>
                  <pic:blipFill>
                    <a:blip r:embed="rId13"/>
                    <a:stretch>
                      <a:fillRect/>
                    </a:stretch>
                  </pic:blipFill>
                  <pic:spPr>
                    <a:xfrm>
                      <a:off x="0" y="0"/>
                      <a:ext cx="5943600" cy="3469666"/>
                    </a:xfrm>
                    <a:prstGeom prst="rect"/>
                  </pic:spPr>
                </pic:pic>
              </a:graphicData>
            </a:graphic>
          </wp:inline>
        </w:drawing>
      </w:r>
    </w:p>
    <w:p>
      <w:pPr>
        <w:spacing w:after="120"/>
        <w:jc w:val="center"/>
      </w:pPr>
      <w:r>
        <w:rPr>
          <w:rFonts w:ascii="宋体" w:hAnsi="宋体"/>
          <w:i/>
          <w:color w:val="8E8E93"/>
          <w:sz w:val="17"/>
        </w:rPr>
        <w:t>图5：各业务板块年度营收（2023–2025年）</w:t>
      </w:r>
    </w:p>
    <w:p>
      <w:pPr>
        <w:jc w:val="center"/>
      </w:pPr>
      <w:r>
        <w:drawing>
          <wp:inline xmlns:a="http://schemas.openxmlformats.org/drawingml/2006/main" xmlns:pic="http://schemas.openxmlformats.org/drawingml/2006/picture">
            <wp:extent cx="5943600" cy="2988978"/>
            <wp:docPr id="6" name="Picture 6"/>
            <wp:cNvGraphicFramePr>
              <a:graphicFrameLocks noChangeAspect="1"/>
            </wp:cNvGraphicFramePr>
            <a:graphic>
              <a:graphicData uri="http://schemas.openxmlformats.org/drawingml/2006/picture">
                <pic:pic>
                  <pic:nvPicPr>
                    <pic:cNvPr id="0" name="uuuu_chart6_uranium_production.png"/>
                    <pic:cNvPicPr/>
                  </pic:nvPicPr>
                  <pic:blipFill>
                    <a:blip r:embed="rId14"/>
                    <a:stretch>
                      <a:fillRect/>
                    </a:stretch>
                  </pic:blipFill>
                  <pic:spPr>
                    <a:xfrm>
                      <a:off x="0" y="0"/>
                      <a:ext cx="5943600" cy="2988978"/>
                    </a:xfrm>
                    <a:prstGeom prst="rect"/>
                  </pic:spPr>
                </pic:pic>
              </a:graphicData>
            </a:graphic>
          </wp:inline>
        </w:drawing>
      </w:r>
    </w:p>
    <w:p>
      <w:pPr>
        <w:spacing w:after="120"/>
        <w:jc w:val="center"/>
      </w:pPr>
      <w:r>
        <w:rPr>
          <w:rFonts w:ascii="宋体" w:hAnsi="宋体"/>
          <w:i/>
          <w:color w:val="8E8E93"/>
          <w:sz w:val="17"/>
        </w:rPr>
        <w:t>图6：铀矿开采、精制及库存（磅数U3O8）</w:t>
      </w:r>
    </w:p>
    <w:p>
      <w:pPr>
        <w:spacing w:before="160" w:after="40"/>
      </w:pPr>
      <w:r>
        <w:rPr>
          <w:rFonts w:ascii="黑体" w:hAnsi="黑体" w:eastAsia="黑体"/>
          <w:b/>
          <w:color w:val="0071E3"/>
          <w:sz w:val="22"/>
        </w:rPr>
        <w:t>资产负债表（2025年12月31日）</w:t>
      </w:r>
    </w:p>
    <w:tbl>
      <w:tblPr>
        <w:tblStyle w:val="TableGrid"/>
        <w:tblW w:type="auto" w:w="0"/>
        <w:jc w:val="center"/>
        <w:tblLook w:firstColumn="1" w:firstRow="1" w:lastColumn="0" w:lastRow="0" w:noHBand="0" w:noVBand="1" w:val="04A0"/>
      </w:tblPr>
      <w:tblGrid>
        <w:gridCol w:w="3324"/>
        <w:gridCol w:w="3324"/>
        <w:gridCol w:w="3324"/>
      </w:tblGrid>
      <w:tr>
        <w:tc>
          <w:tcPr>
            <w:tcW w:type="dxa" w:w="403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项目</w:t>
            </w:r>
          </w:p>
        </w:tc>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2025年12月31日</w:t>
            </w:r>
          </w:p>
        </w:tc>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2024年12月31日</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营运资金</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$927.4M</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$170.9M</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现金及现金等价物</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$64.7M</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$38.6M</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有价证券</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$797.1M</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$80.9M</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现金+有价证券合计</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约$861.8M</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约$119.5M</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总资产</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$14.1亿</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约$4.7亿</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总负债</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$7.293亿</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约$0（无债务）</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可转换优先票据</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$7亿（票息0.75%）</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净股权</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约$6.8亿</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约$4.7亿</w:t>
            </w:r>
          </w:p>
        </w:tc>
      </w:tr>
    </w:tbl>
    <w:p>
      <w:pPr>
        <w:spacing w:after="120"/>
      </w:pPr>
      <w:r>
        <w:rPr>
          <w:rFonts w:ascii="宋体" w:hAnsi="宋体" w:eastAsia="宋体"/>
          <w:b w:val="0"/>
          <w:i w:val="0"/>
          <w:sz w:val="21"/>
        </w:rPr>
        <w:t>7亿美元可转换票据（2025年10月，票息0.75%，超额认购7倍以上，2031年到期）彻底改变了公司的资产负债结构。初始转换价格：$20.34/股；附加上限期权（capped call）后，有效稀释触发价升至$30.70/股（相当于发行价的100%溢价）。</w:t>
      </w:r>
    </w:p>
    <w:p>
      <w:pPr>
        <w:jc w:val="center"/>
      </w:pPr>
      <w:r>
        <w:drawing>
          <wp:inline xmlns:a="http://schemas.openxmlformats.org/drawingml/2006/main" xmlns:pic="http://schemas.openxmlformats.org/drawingml/2006/picture">
            <wp:extent cx="5943600" cy="3690370"/>
            <wp:docPr id="7" name="Picture 7"/>
            <wp:cNvGraphicFramePr>
              <a:graphicFrameLocks noChangeAspect="1"/>
            </wp:cNvGraphicFramePr>
            <a:graphic>
              <a:graphicData uri="http://schemas.openxmlformats.org/drawingml/2006/picture">
                <pic:pic>
                  <pic:nvPicPr>
                    <pic:cNvPr id="0" name="uuuu_chart7_cost_structure.png"/>
                    <pic:cNvPicPr/>
                  </pic:nvPicPr>
                  <pic:blipFill>
                    <a:blip r:embed="rId15"/>
                    <a:stretch>
                      <a:fillRect/>
                    </a:stretch>
                  </pic:blipFill>
                  <pic:spPr>
                    <a:xfrm>
                      <a:off x="0" y="0"/>
                      <a:ext cx="5943600" cy="3690370"/>
                    </a:xfrm>
                    <a:prstGeom prst="rect"/>
                  </pic:spPr>
                </pic:pic>
              </a:graphicData>
            </a:graphic>
          </wp:inline>
        </w:drawing>
      </w:r>
    </w:p>
    <w:p>
      <w:pPr>
        <w:spacing w:after="120"/>
        <w:jc w:val="center"/>
      </w:pPr>
      <w:r>
        <w:rPr>
          <w:rFonts w:ascii="宋体" w:hAnsi="宋体"/>
          <w:i/>
          <w:color w:val="8E8E93"/>
          <w:sz w:val="17"/>
        </w:rPr>
        <w:t>图7：铀矿成本结构 vs 实现价格</w:t>
      </w:r>
    </w:p>
    <w:p>
      <w:pPr>
        <w:jc w:val="center"/>
      </w:pPr>
      <w:r>
        <w:drawing>
          <wp:inline xmlns:a="http://schemas.openxmlformats.org/drawingml/2006/main" xmlns:pic="http://schemas.openxmlformats.org/drawingml/2006/picture">
            <wp:extent cx="5943600" cy="3317895"/>
            <wp:docPr id="8" name="Picture 8"/>
            <wp:cNvGraphicFramePr>
              <a:graphicFrameLocks noChangeAspect="1"/>
            </wp:cNvGraphicFramePr>
            <a:graphic>
              <a:graphicData uri="http://schemas.openxmlformats.org/drawingml/2006/picture">
                <pic:pic>
                  <pic:nvPicPr>
                    <pic:cNvPr id="0" name="uuuu_chart8_balance_sheet.png"/>
                    <pic:cNvPicPr/>
                  </pic:nvPicPr>
                  <pic:blipFill>
                    <a:blip r:embed="rId16"/>
                    <a:stretch>
                      <a:fillRect/>
                    </a:stretch>
                  </pic:blipFill>
                  <pic:spPr>
                    <a:xfrm>
                      <a:off x="0" y="0"/>
                      <a:ext cx="5943600" cy="3317895"/>
                    </a:xfrm>
                    <a:prstGeom prst="rect"/>
                  </pic:spPr>
                </pic:pic>
              </a:graphicData>
            </a:graphic>
          </wp:inline>
        </w:drawing>
      </w:r>
    </w:p>
    <w:p>
      <w:pPr>
        <w:spacing w:after="120"/>
        <w:jc w:val="center"/>
      </w:pPr>
      <w:r>
        <w:rPr>
          <w:rFonts w:ascii="宋体" w:hAnsi="宋体"/>
          <w:i/>
          <w:color w:val="8E8E93"/>
          <w:sz w:val="17"/>
        </w:rPr>
        <w:t>图8：资产负债表关键指标</w:t>
      </w:r>
    </w:p>
    <w:p>
      <w:r>
        <w:br w:type="page"/>
      </w:r>
    </w:p>
    <w:p>
      <w:pPr>
        <w:spacing w:before="240" w:after="80"/>
        <w:pBdr>
          <w:bottom w:val="single" w:sz="6" w:space="1" w:color="1C1C4D"/>
        </w:pBdr>
      </w:pPr>
      <w:r>
        <w:rPr>
          <w:rFonts w:ascii="黑体" w:hAnsi="黑体" w:eastAsia="黑体"/>
          <w:b/>
          <w:color w:val="1C1C4D"/>
          <w:sz w:val="26"/>
        </w:rPr>
        <w:t>三、铀矿及稀土市场背景</w:t>
      </w:r>
    </w:p>
    <w:p>
      <w:pPr>
        <w:spacing w:before="160" w:after="40"/>
      </w:pPr>
      <w:r>
        <w:rPr>
          <w:rFonts w:ascii="黑体" w:hAnsi="黑体" w:eastAsia="黑体"/>
          <w:b/>
          <w:color w:val="0071E3"/>
          <w:sz w:val="22"/>
        </w:rPr>
        <w:t>2025年铀矿现货价格走势</w:t>
      </w:r>
    </w:p>
    <w:p>
      <w:pPr>
        <w:spacing w:after="80"/>
      </w:pPr>
      <w:r>
        <w:rPr>
          <w:rFonts w:ascii="宋体" w:hAnsi="宋体" w:eastAsia="宋体"/>
          <w:b w:val="0"/>
          <w:i w:val="0"/>
          <w:sz w:val="21"/>
        </w:rPr>
        <w:t>2025年铀矿现货市场整体偏弱、区间震荡，全年交易价格在$63/磅（4月低点）至$82–83/磅（9月高点）之间，相较2024年1月约$106/磅的峰值大幅回调。2025年价格下行的主要驱动因素包括：（1）2023–2024年累积多头头寸平仓；（2）铀浓缩低料位（underfeeding）和公用事业库存去化带来的二级供应；（3）特朗普政府政策不确定性影响市场情绪。</w:t>
      </w:r>
    </w:p>
    <w:p>
      <w:pPr>
        <w:spacing w:after="120"/>
      </w:pPr>
      <w:r>
        <w:rPr>
          <w:rFonts w:ascii="宋体" w:hAnsi="宋体" w:eastAsia="宋体"/>
          <w:b w:val="0"/>
          <w:i w:val="0"/>
          <w:sz w:val="21"/>
        </w:rPr>
        <w:t>与此形成对比的是，长期合同价格从约$80/磅稳步升至约$86/磅（2025年全年），反映公用事业对多年期燃料供应安全的强劲需求。这一「现货弱、长期强」的分化格局实际上有利于Energy Fuels——公司通过长期合同锁定销售（2025年全年30万磅@$71.06/磅），同时积累库存以备未来交付。</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时期</w:t>
            </w:r>
          </w:p>
        </w:tc>
        <w:tc>
          <w:tcPr>
            <w:tcW w:type="dxa" w:w="244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U3O8现货价（美元/磅）</w:t>
            </w:r>
          </w:p>
        </w:tc>
        <w:tc>
          <w:tcPr>
            <w:tcW w:type="dxa" w:w="244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长期合同价（美元/磅）</w:t>
            </w:r>
          </w:p>
        </w:tc>
        <w:tc>
          <w:tcPr>
            <w:tcW w:type="dxa" w:w="331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市场评述</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2024年1月</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约$106</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约$68</w:t>
            </w:r>
          </w:p>
        </w:tc>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后Cameco/Kazatom供应忧虑推至峰值</w:t>
            </w:r>
          </w:p>
        </w:tc>
      </w:tr>
      <w:tr>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2024年Q2</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约$85–90</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约$73</w:t>
            </w:r>
          </w:p>
        </w:tc>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逐步回调</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2024年Q4</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约$78–82</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约$78</w:t>
            </w:r>
          </w:p>
        </w:tc>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现货价与长期价趋于收敛</w:t>
            </w:r>
          </w:p>
        </w:tc>
      </w:tr>
      <w:tr>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2025年Q1（4月低点）</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约$63–65</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约$80</w:t>
            </w:r>
          </w:p>
        </w:tc>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18个月低位；长期价&gt;现货价</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2025年Q3（9月高点）</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约$82–83</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约$84</w:t>
            </w:r>
          </w:p>
        </w:tc>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部分反弹</w:t>
            </w:r>
          </w:p>
        </w:tc>
      </w:tr>
      <w:tr>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2025年Q4</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约$70–76</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约$85</w:t>
            </w:r>
          </w:p>
        </w:tc>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年末走软</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2026年1月</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约$98–100</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约$87</w:t>
            </w:r>
          </w:p>
        </w:tc>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快速反弹；接近近两年新高</w:t>
            </w:r>
          </w:p>
        </w:tc>
      </w:tr>
    </w:tbl>
    <w:p>
      <w:pPr>
        <w:spacing w:after="80"/>
      </w:pPr>
      <w:r>
        <w:rPr>
          <w:rFonts w:ascii="宋体" w:hAnsi="宋体" w:eastAsia="宋体"/>
          <w:b w:val="0"/>
          <w:i/>
          <w:color w:val="8E8E93"/>
          <w:sz w:val="17"/>
        </w:rPr>
        <w:t>资料来源：UxC、TradeTech、Sprott铀矿2026年展望、ANS核能新闻。</w:t>
      </w:r>
    </w:p>
    <w:p>
      <w:pPr>
        <w:spacing w:after="120"/>
      </w:pPr>
      <w:r>
        <w:rPr>
          <w:rFonts w:ascii="宋体" w:hAnsi="宋体" w:eastAsia="宋体"/>
          <w:b w:val="0"/>
          <w:i w:val="0"/>
          <w:sz w:val="21"/>
        </w:rPr>
      </w:r>
    </w:p>
    <w:p>
      <w:pPr>
        <w:jc w:val="center"/>
      </w:pPr>
      <w:r>
        <w:drawing>
          <wp:inline xmlns:a="http://schemas.openxmlformats.org/drawingml/2006/main" xmlns:pic="http://schemas.openxmlformats.org/drawingml/2006/picture">
            <wp:extent cx="5943600" cy="2956845"/>
            <wp:docPr id="9" name="Picture 9"/>
            <wp:cNvGraphicFramePr>
              <a:graphicFrameLocks noChangeAspect="1"/>
            </wp:cNvGraphicFramePr>
            <a:graphic>
              <a:graphicData uri="http://schemas.openxmlformats.org/drawingml/2006/picture">
                <pic:pic>
                  <pic:nvPicPr>
                    <pic:cNvPr id="0" name="uuuu_chart11_uranium_market.png"/>
                    <pic:cNvPicPr/>
                  </pic:nvPicPr>
                  <pic:blipFill>
                    <a:blip r:embed="rId17"/>
                    <a:stretch>
                      <a:fillRect/>
                    </a:stretch>
                  </pic:blipFill>
                  <pic:spPr>
                    <a:xfrm>
                      <a:off x="0" y="0"/>
                      <a:ext cx="5943600" cy="2956845"/>
                    </a:xfrm>
                    <a:prstGeom prst="rect"/>
                  </pic:spPr>
                </pic:pic>
              </a:graphicData>
            </a:graphic>
          </wp:inline>
        </w:drawing>
      </w:r>
    </w:p>
    <w:p>
      <w:pPr>
        <w:spacing w:after="120"/>
        <w:jc w:val="center"/>
      </w:pPr>
      <w:r>
        <w:rPr>
          <w:rFonts w:ascii="宋体" w:hAnsi="宋体"/>
          <w:i/>
          <w:color w:val="8E8E93"/>
          <w:sz w:val="17"/>
        </w:rPr>
        <w:t>图11：铀矿现货价格 vs 长期合同价格走势（2024–2026年1月）</w:t>
      </w:r>
    </w:p>
    <w:p>
      <w:pPr>
        <w:spacing w:before="160" w:after="40"/>
      </w:pPr>
      <w:r>
        <w:rPr>
          <w:rFonts w:ascii="黑体" w:hAnsi="黑体" w:eastAsia="黑体"/>
          <w:b/>
          <w:color w:val="0071E3"/>
          <w:sz w:val="22"/>
        </w:rPr>
        <w:t>铀矿市场结构性展望</w:t>
      </w:r>
    </w:p>
    <w:p>
      <w:pPr>
        <w:pStyle w:val="ListBullet"/>
        <w:spacing w:after="40"/>
        <w:ind w:left="360"/>
      </w:pPr>
      <w:r>
        <w:rPr>
          <w:rFonts w:ascii="宋体" w:hAnsi="宋体" w:eastAsia="宋体"/>
          <w:sz w:val="21"/>
        </w:rPr>
        <w:t>全球铀矿供应缺口约1.3亿磅/年；新反应堆建设及数据中心电力需求推动需求持续增长</w:t>
      </w:r>
    </w:p>
    <w:p>
      <w:pPr>
        <w:pStyle w:val="ListBullet"/>
        <w:spacing w:after="40"/>
        <w:ind w:left="360"/>
      </w:pPr>
      <w:r>
        <w:rPr>
          <w:rFonts w:ascii="宋体" w:hAnsi="宋体" w:eastAsia="宋体"/>
          <w:sz w:val="21"/>
        </w:rPr>
        <w:t>2024年全球新增6台核反应堆并网（主要来自中国）；全球在建反应堆逾60台</w:t>
      </w:r>
    </w:p>
    <w:p>
      <w:pPr>
        <w:pStyle w:val="ListBullet"/>
        <w:spacing w:after="40"/>
        <w:ind w:left="360"/>
      </w:pPr>
      <w:r>
        <w:rPr>
          <w:rFonts w:ascii="宋体" w:hAnsi="宋体" w:eastAsia="宋体"/>
          <w:sz w:val="21"/>
        </w:rPr>
        <w:t>美国《2024年禁止俄罗斯铀进口法案》在结构上有利于美国本土铀矿生产商</w:t>
      </w:r>
    </w:p>
    <w:p>
      <w:pPr>
        <w:pStyle w:val="ListBullet"/>
        <w:spacing w:after="40"/>
        <w:ind w:left="360"/>
      </w:pPr>
      <w:r>
        <w:rPr>
          <w:rFonts w:ascii="宋体" w:hAnsi="宋体" w:eastAsia="宋体"/>
          <w:sz w:val="21"/>
        </w:rPr>
        <w:t>2026年1月铀期货升至约$100/磅——近两年新高</w:t>
      </w:r>
    </w:p>
    <w:p>
      <w:pPr>
        <w:pStyle w:val="ListBullet"/>
        <w:spacing w:after="40"/>
        <w:ind w:left="360"/>
      </w:pPr>
      <w:r>
        <w:rPr>
          <w:rFonts w:ascii="宋体" w:hAnsi="宋体" w:eastAsia="宋体"/>
          <w:sz w:val="21"/>
        </w:rPr>
        <w:t>Energy Fuels是美国仅有的3家活跃铀矿生产商之一（另外两家为Cameco-Cigar和enCore Energy）</w:t>
      </w:r>
    </w:p>
    <w:p>
      <w:pPr>
        <w:spacing w:after="120"/>
      </w:pPr>
      <w:r>
        <w:rPr>
          <w:rFonts w:ascii="宋体" w:hAnsi="宋体" w:eastAsia="宋体"/>
          <w:b w:val="0"/>
          <w:i w:val="0"/>
          <w:sz w:val="21"/>
        </w:rPr>
      </w:r>
    </w:p>
    <w:p>
      <w:pPr>
        <w:spacing w:before="160" w:after="40"/>
      </w:pPr>
      <w:r>
        <w:rPr>
          <w:rFonts w:ascii="黑体" w:hAnsi="黑体" w:eastAsia="黑体"/>
          <w:b/>
          <w:color w:val="0071E3"/>
          <w:sz w:val="22"/>
        </w:rPr>
        <w:t>稀土（REE）市场背景</w:t>
      </w:r>
    </w:p>
    <w:p>
      <w:pPr>
        <w:spacing w:after="80"/>
      </w:pPr>
      <w:r>
        <w:rPr>
          <w:rFonts w:ascii="宋体" w:hAnsi="宋体" w:eastAsia="宋体"/>
          <w:b w:val="0"/>
          <w:i w:val="0"/>
          <w:sz w:val="21"/>
        </w:rPr>
        <w:t>西方稀土供应链仍高度依赖中国——中国控制全球约85%的稀土加工产能。美国及盟友对本土稀土分离的需求因国防/电动汽车永磁体需求而加速增长。Energy Fuels的White Mesa磨矿厂是中国以外整个西半球唯一能够商业化生产分离重稀土氧化物（镝、铽）的设施。</w:t>
      </w:r>
    </w:p>
    <w:p>
      <w:pPr>
        <w:pStyle w:val="ListBullet"/>
        <w:spacing w:after="40"/>
        <w:ind w:left="360"/>
      </w:pPr>
      <w:r>
        <w:rPr>
          <w:rFonts w:ascii="宋体" w:hAnsi="宋体" w:eastAsia="宋体"/>
          <w:sz w:val="21"/>
        </w:rPr>
        <w:t>NdPr氧化物价格：约$50–60/千克（2025年）；Dy氧化物：约$300–360/千克；Tb氧化物：约$1,400–1,600/千克</w:t>
      </w:r>
    </w:p>
    <w:p>
      <w:pPr>
        <w:pStyle w:val="ListBullet"/>
        <w:spacing w:after="40"/>
        <w:ind w:left="360"/>
      </w:pPr>
      <w:r>
        <w:rPr>
          <w:rFonts w:ascii="宋体" w:hAnsi="宋体" w:eastAsia="宋体"/>
          <w:sz w:val="21"/>
        </w:rPr>
        <w:t>美国能源部（DOE）和国防部（DOD）积极资助本土稀土供应链建设</w:t>
      </w:r>
    </w:p>
    <w:p>
      <w:pPr>
        <w:pStyle w:val="ListBullet"/>
        <w:spacing w:after="40"/>
        <w:ind w:left="360"/>
      </w:pPr>
      <w:r>
        <w:rPr>
          <w:rFonts w:ascii="宋体" w:hAnsi="宋体" w:eastAsia="宋体"/>
          <w:sz w:val="21"/>
        </w:rPr>
        <w:t>Energy Fuels NdPr氧化物通过三星SDI类型永磁体制造商（韩国）资质认证</w:t>
      </w:r>
    </w:p>
    <w:p>
      <w:pPr>
        <w:spacing w:after="160"/>
      </w:pPr>
      <w:r>
        <w:rPr>
          <w:rFonts w:ascii="宋体" w:hAnsi="宋体" w:eastAsia="宋体"/>
          <w:b w:val="0"/>
          <w:i w:val="0"/>
          <w:sz w:val="21"/>
        </w:rPr>
      </w:r>
    </w:p>
    <w:p>
      <w:r>
        <w:br w:type="page"/>
      </w:r>
    </w:p>
    <w:p>
      <w:pPr>
        <w:spacing w:before="240" w:after="80"/>
        <w:pBdr>
          <w:bottom w:val="single" w:sz="6" w:space="1" w:color="1C1C4D"/>
        </w:pBdr>
      </w:pPr>
      <w:r>
        <w:rPr>
          <w:rFonts w:ascii="黑体" w:hAnsi="黑体" w:eastAsia="黑体"/>
          <w:b/>
          <w:color w:val="1C1C4D"/>
          <w:sz w:val="26"/>
        </w:rPr>
        <w:t>四、2026年业绩指引</w:t>
      </w:r>
    </w:p>
    <w:p>
      <w:pPr>
        <w:spacing w:before="160" w:after="40"/>
      </w:pPr>
      <w:r>
        <w:rPr>
          <w:rFonts w:ascii="黑体" w:hAnsi="黑体" w:eastAsia="黑体"/>
          <w:b/>
          <w:color w:val="0071E3"/>
          <w:sz w:val="22"/>
        </w:rPr>
        <w:t>铀矿产量与销售计划</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88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指标</w:t>
            </w:r>
          </w:p>
        </w:tc>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2026年指引</w:t>
            </w:r>
          </w:p>
        </w:tc>
        <w:tc>
          <w:tcPr>
            <w:tcW w:type="dxa" w:w="216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2025年实际</w:t>
            </w:r>
          </w:p>
        </w:tc>
        <w:tc>
          <w:tcPr>
            <w:tcW w:type="dxa" w:w="216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变动</w:t>
            </w:r>
          </w:p>
        </w:tc>
      </w:tr>
      <w:tr>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开采矿量（百万磅U3O8）</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2.0–2.5</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1.72</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+16%至+45%</w:t>
            </w:r>
          </w:p>
        </w:tc>
      </w:tr>
      <w:tr>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精制/成品产量（百万磅）</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1.5–2.5</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1.015</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+48%至+146%</w:t>
            </w:r>
          </w:p>
        </w:tc>
      </w:tr>
      <w:tr>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铀矿销售量（百万磅）</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1.5–2.0</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0.65</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+131%至+208%</w:t>
            </w:r>
          </w:p>
        </w:tc>
      </w:tr>
      <w:tr>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成品库存加权平均成本（美元/磅）</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目标：30美元初段</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约$43</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降幅&gt;25%</w:t>
            </w:r>
          </w:p>
        </w:tc>
      </w:tr>
      <w:tr>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Pinyon Plain矿山处理成本（美元/磅）</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$23–30</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约$43（混合）</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大幅下降</w:t>
            </w:r>
          </w:p>
        </w:tc>
      </w:tr>
      <w:tr>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 xml:space="preserve">  其中：开采/运输</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$10–14/磅</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r>
      <w:tr>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 xml:space="preserve">  其中：磨矿</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$13–16/磅</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r>
      <w:tr>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长期供应合同</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6份（履约至2032年）</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6份</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稳定</w:t>
            </w:r>
          </w:p>
        </w:tc>
      </w:tr>
    </w:tbl>
    <w:p>
      <w:pPr>
        <w:spacing w:after="120"/>
      </w:pPr>
      <w:r>
        <w:rPr>
          <w:rFonts w:ascii="宋体" w:hAnsi="宋体" w:eastAsia="宋体"/>
          <w:b w:val="0"/>
          <w:i w:val="0"/>
          <w:sz w:val="21"/>
        </w:rPr>
        <w:t>管理层指引2026年铀矿销售量接近翻倍，支撑因素包括：（1）Pinyon Plain高品位矿石继续在White Mesa处理；（2）可能重启La Sal和Pandora矿山；（3）进入2026年时持有218万磅精制+在制铀矿库存。预期单位成本降至「30美元初段」，意味着在当前铀价（$80–100/磅）下毛利率可达55%以上。</w:t>
      </w:r>
    </w:p>
    <w:p>
      <w:pPr>
        <w:spacing w:before="160" w:after="40"/>
      </w:pPr>
      <w:r>
        <w:rPr>
          <w:rFonts w:ascii="黑体" w:hAnsi="黑体" w:eastAsia="黑体"/>
          <w:b/>
          <w:color w:val="0071E3"/>
          <w:sz w:val="22"/>
        </w:rPr>
        <w:t>稀土元素（REE）2026年目标</w:t>
      </w:r>
    </w:p>
    <w:p>
      <w:pPr>
        <w:pStyle w:val="ListBullet"/>
        <w:spacing w:after="40"/>
        <w:ind w:left="360"/>
      </w:pPr>
      <w:r>
        <w:rPr>
          <w:rFonts w:ascii="宋体" w:hAnsi="宋体" w:eastAsia="宋体"/>
          <w:sz w:val="21"/>
        </w:rPr>
        <w:t>一期（NdPr产自独居石）：一期B/C阶段全产能下，NdPr年产量约850–1,000吨（目标2027年达产）</w:t>
      </w:r>
    </w:p>
    <w:p>
      <w:pPr>
        <w:pStyle w:val="ListBullet"/>
        <w:spacing w:after="40"/>
        <w:ind w:left="360"/>
      </w:pPr>
      <w:r>
        <w:rPr>
          <w:rFonts w:ascii="宋体" w:hAnsi="宋体" w:eastAsia="宋体"/>
          <w:sz w:val="21"/>
        </w:rPr>
        <w:t>重稀土商业化分离：2026年Q4在White Mesa完成Dy、Tb（及可能Sm）商业规模分离产能建设</w:t>
      </w:r>
    </w:p>
    <w:p>
      <w:pPr>
        <w:pStyle w:val="ListBullet"/>
        <w:spacing w:after="40"/>
        <w:ind w:left="360"/>
      </w:pPr>
      <w:r>
        <w:rPr>
          <w:rFonts w:ascii="宋体" w:hAnsi="宋体" w:eastAsia="宋体"/>
          <w:sz w:val="21"/>
        </w:rPr>
        <w:t>铽氧化物首批千克：目标2026年Q1完成</w:t>
      </w:r>
    </w:p>
    <w:p>
      <w:pPr>
        <w:pStyle w:val="ListBullet"/>
        <w:spacing w:after="40"/>
        <w:ind w:left="360"/>
      </w:pPr>
      <w:r>
        <w:rPr>
          <w:rFonts w:ascii="宋体" w:hAnsi="宋体" w:eastAsia="宋体"/>
          <w:sz w:val="21"/>
        </w:rPr>
        <w:t>二期可行性研究（2026年1月发布）：资本开支4.1亿美元；年产5,513吨NdPr+165吨Dy+48吨Tb；NPV 19亿美元；IRR 33%</w:t>
      </w:r>
    </w:p>
    <w:p>
      <w:pPr>
        <w:pStyle w:val="ListBullet"/>
        <w:spacing w:after="40"/>
        <w:ind w:left="360"/>
      </w:pPr>
      <w:r>
        <w:rPr>
          <w:rFonts w:ascii="宋体" w:hAnsi="宋体" w:eastAsia="宋体"/>
          <w:sz w:val="21"/>
        </w:rPr>
        <w:t>二期许可申请：2026/2027年开始；投产目标2028年底至2029年初</w:t>
      </w:r>
    </w:p>
    <w:p>
      <w:pPr>
        <w:spacing w:after="80"/>
      </w:pPr>
      <w:r>
        <w:rPr>
          <w:rFonts w:ascii="宋体" w:hAnsi="宋体" w:eastAsia="宋体"/>
          <w:b w:val="0"/>
          <w:i w:val="0"/>
          <w:sz w:val="21"/>
        </w:rPr>
      </w:r>
    </w:p>
    <w:p>
      <w:pPr>
        <w:spacing w:before="160" w:after="40"/>
      </w:pPr>
      <w:r>
        <w:rPr>
          <w:rFonts w:ascii="黑体" w:hAnsi="黑体" w:eastAsia="黑体"/>
          <w:b/>
          <w:color w:val="0071E3"/>
          <w:sz w:val="22"/>
        </w:rPr>
        <w:t>资本支出与战略布局</w:t>
      </w:r>
    </w:p>
    <w:p>
      <w:pPr>
        <w:pStyle w:val="ListBullet"/>
        <w:spacing w:after="40"/>
        <w:ind w:left="360"/>
      </w:pPr>
      <w:r>
        <w:rPr>
          <w:rFonts w:ascii="宋体" w:hAnsi="宋体" w:eastAsia="宋体"/>
          <w:sz w:val="21"/>
        </w:rPr>
        <w:t>2026年资本支出：未明确指引；重点为White Mesa稀土回路升级及矿山开发</w:t>
      </w:r>
    </w:p>
    <w:p>
      <w:pPr>
        <w:pStyle w:val="ListBullet"/>
        <w:spacing w:after="40"/>
        <w:ind w:left="360"/>
      </w:pPr>
      <w:r>
        <w:rPr>
          <w:rFonts w:ascii="宋体" w:hAnsi="宋体" w:eastAsia="宋体"/>
          <w:sz w:val="21"/>
        </w:rPr>
        <w:t>Donald项目（澳大利亚，49% JV合资/Astron）：最终投资决定（FID）预计2026年Q1；总资本开支约5.2亿澳元；获Export Finance Australia 8,000万澳元债务融资意向函</w:t>
      </w:r>
    </w:p>
    <w:p>
      <w:pPr>
        <w:pStyle w:val="ListBullet"/>
        <w:spacing w:after="40"/>
        <w:ind w:left="360"/>
      </w:pPr>
      <w:r>
        <w:rPr>
          <w:rFonts w:ascii="宋体" w:hAnsi="宋体" w:eastAsia="宋体"/>
          <w:sz w:val="21"/>
        </w:rPr>
        <w:t>Donald项目生产时间：2027年H2；为White Mesa提供重稀土原料</w:t>
      </w:r>
    </w:p>
    <w:p>
      <w:pPr>
        <w:pStyle w:val="ListBullet"/>
        <w:spacing w:after="40"/>
        <w:ind w:left="360"/>
      </w:pPr>
      <w:r>
        <w:rPr>
          <w:rFonts w:ascii="宋体" w:hAnsi="宋体" w:eastAsia="宋体"/>
          <w:sz w:val="21"/>
        </w:rPr>
        <w:t>Vara Mada项目（马达加斯加）：税后NPV 18亿美元（10%折现率），矿山寿命约38年；与政府就投资协议谈判中</w:t>
      </w:r>
    </w:p>
    <w:p>
      <w:pPr>
        <w:pStyle w:val="ListBullet"/>
        <w:spacing w:after="40"/>
        <w:ind w:left="360"/>
      </w:pPr>
      <w:r>
        <w:rPr>
          <w:rFonts w:ascii="宋体" w:hAnsi="宋体" w:eastAsia="宋体"/>
          <w:sz w:val="21"/>
        </w:rPr>
        <w:t>医疗同位素：镭-226（Ra-226）研发中试设施预计2026年投用；商业化生产目标2028年</w:t>
      </w:r>
    </w:p>
    <w:p>
      <w:pPr>
        <w:pStyle w:val="ListBullet"/>
        <w:spacing w:after="40"/>
        <w:ind w:left="360"/>
      </w:pPr>
      <w:r>
        <w:rPr>
          <w:rFonts w:ascii="宋体" w:hAnsi="宋体" w:eastAsia="宋体"/>
          <w:sz w:val="21"/>
        </w:rPr>
        <w:t>管理层交接：Ross Bhappu（总裁→CEO）自2026年4月15日起生效；Mark Chalmers退休并保留2年顾问身份</w:t>
      </w:r>
    </w:p>
    <w:p>
      <w:pPr>
        <w:spacing w:after="120"/>
      </w:pPr>
      <w:r>
        <w:rPr>
          <w:rFonts w:ascii="宋体" w:hAnsi="宋体" w:eastAsia="宋体"/>
          <w:b w:val="0"/>
          <w:i w:val="0"/>
          <w:sz w:val="21"/>
        </w:rPr>
      </w:r>
    </w:p>
    <w:p>
      <w:pPr>
        <w:jc w:val="center"/>
      </w:pPr>
      <w:r>
        <w:drawing>
          <wp:inline xmlns:a="http://schemas.openxmlformats.org/drawingml/2006/main" xmlns:pic="http://schemas.openxmlformats.org/drawingml/2006/picture">
            <wp:extent cx="5943600" cy="3053189"/>
            <wp:docPr id="10" name="Picture 10"/>
            <wp:cNvGraphicFramePr>
              <a:graphicFrameLocks noChangeAspect="1"/>
            </wp:cNvGraphicFramePr>
            <a:graphic>
              <a:graphicData uri="http://schemas.openxmlformats.org/drawingml/2006/picture">
                <pic:pic>
                  <pic:nvPicPr>
                    <pic:cNvPr id="0" name="uuuu_chart9_ree_roadmap.png"/>
                    <pic:cNvPicPr/>
                  </pic:nvPicPr>
                  <pic:blipFill>
                    <a:blip r:embed="rId18"/>
                    <a:stretch>
                      <a:fillRect/>
                    </a:stretch>
                  </pic:blipFill>
                  <pic:spPr>
                    <a:xfrm>
                      <a:off x="0" y="0"/>
                      <a:ext cx="5943600" cy="3053189"/>
                    </a:xfrm>
                    <a:prstGeom prst="rect"/>
                  </pic:spPr>
                </pic:pic>
              </a:graphicData>
            </a:graphic>
          </wp:inline>
        </w:drawing>
      </w:r>
    </w:p>
    <w:p>
      <w:pPr>
        <w:spacing w:after="120"/>
        <w:jc w:val="center"/>
      </w:pPr>
      <w:r>
        <w:rPr>
          <w:rFonts w:ascii="宋体" w:hAnsi="宋体"/>
          <w:i/>
          <w:color w:val="8E8E93"/>
          <w:sz w:val="17"/>
        </w:rPr>
        <w:t>图9：稀土扩张各阶段NPV与EBITDA路线图</w:t>
      </w:r>
    </w:p>
    <w:p>
      <w:r>
        <w:br w:type="page"/>
      </w:r>
    </w:p>
    <w:p>
      <w:pPr>
        <w:spacing w:before="240" w:after="80"/>
        <w:pBdr>
          <w:bottom w:val="single" w:sz="6" w:space="1" w:color="1C1C4D"/>
        </w:pBdr>
      </w:pPr>
      <w:r>
        <w:rPr>
          <w:rFonts w:ascii="黑体" w:hAnsi="黑体" w:eastAsia="黑体"/>
          <w:b/>
          <w:color w:val="1C1C4D"/>
          <w:sz w:val="26"/>
        </w:rPr>
        <w:t>五、业绩发布电话会议要点（2026年2月27日）</w:t>
      </w:r>
    </w:p>
    <w:p>
      <w:pPr>
        <w:spacing w:before="160" w:after="40"/>
      </w:pPr>
      <w:r>
        <w:rPr>
          <w:rFonts w:ascii="黑体" w:hAnsi="黑体" w:eastAsia="黑体"/>
          <w:b/>
          <w:color w:val="0071E3"/>
          <w:sz w:val="22"/>
        </w:rPr>
        <w:t>White Mesa磨矿厂——运营情况</w:t>
      </w:r>
    </w:p>
    <w:p>
      <w:pPr>
        <w:spacing w:after="80"/>
      </w:pPr>
      <w:r>
        <w:rPr>
          <w:rFonts w:ascii="宋体" w:hAnsi="宋体" w:eastAsia="宋体"/>
          <w:b w:val="0"/>
          <w:i w:val="0"/>
          <w:sz w:val="21"/>
        </w:rPr>
        <w:t>White Mesa磨矿厂（位于犹他州Blanding）是Energy Fuels运营的核心，也是美国目前唯一在产的传统铀矿磨矿厂，同时是西半球唯一能商业化生产分离重稀土氧化物的设施（中国除外）。</w:t>
      </w:r>
    </w:p>
    <w:p>
      <w:pPr>
        <w:pStyle w:val="ListBullet"/>
        <w:spacing w:after="40"/>
        <w:ind w:left="360"/>
      </w:pPr>
      <w:r>
        <w:rPr>
          <w:rFonts w:ascii="宋体" w:hAnsi="宋体" w:eastAsia="宋体"/>
          <w:sz w:val="21"/>
        </w:rPr>
        <w:t>磨矿厂年产许可证：800万磅U3O8</w:t>
      </w:r>
    </w:p>
    <w:p>
      <w:pPr>
        <w:pStyle w:val="ListBullet"/>
        <w:spacing w:after="40"/>
        <w:ind w:left="360"/>
      </w:pPr>
      <w:r>
        <w:rPr>
          <w:rFonts w:ascii="宋体" w:hAnsi="宋体" w:eastAsia="宋体"/>
          <w:sz w:val="21"/>
        </w:rPr>
        <w:t>传统矿石处理流程：2025年Q4启动，计划运行至2026年Q2</w:t>
      </w:r>
    </w:p>
    <w:p>
      <w:pPr>
        <w:pStyle w:val="ListBullet"/>
        <w:spacing w:after="40"/>
        <w:ind w:left="360"/>
      </w:pPr>
      <w:r>
        <w:rPr>
          <w:rFonts w:ascii="宋体" w:hAnsi="宋体" w:eastAsia="宋体"/>
          <w:sz w:val="21"/>
        </w:rPr>
        <w:t>峰值产能：2025年12月单月精制U3O8产量达35万磅</w:t>
      </w:r>
    </w:p>
    <w:p>
      <w:pPr>
        <w:pStyle w:val="ListBullet"/>
        <w:spacing w:after="40"/>
        <w:ind w:left="360"/>
      </w:pPr>
      <w:r>
        <w:rPr>
          <w:rFonts w:ascii="宋体" w:hAnsi="宋体" w:eastAsia="宋体"/>
          <w:sz w:val="21"/>
        </w:rPr>
        <w:t>月均产能：约25万磅</w:t>
      </w:r>
    </w:p>
    <w:p>
      <w:pPr>
        <w:pStyle w:val="ListBullet"/>
        <w:spacing w:after="40"/>
        <w:ind w:left="360"/>
      </w:pPr>
      <w:r>
        <w:rPr>
          <w:rFonts w:ascii="宋体" w:hAnsi="宋体" w:eastAsia="宋体"/>
          <w:sz w:val="21"/>
        </w:rPr>
        <w:t>稀土中试回路：镝氧化物纯度99.9%；铽氧化物即将生产</w:t>
      </w:r>
    </w:p>
    <w:p>
      <w:pPr>
        <w:pStyle w:val="ListBullet"/>
        <w:spacing w:after="40"/>
        <w:ind w:left="360"/>
      </w:pPr>
      <w:r>
        <w:rPr>
          <w:rFonts w:ascii="宋体" w:hAnsi="宋体" w:eastAsia="宋体"/>
          <w:sz w:val="21"/>
        </w:rPr>
        <w:t>成本改善：单位COGS从$53/磅（2024年）→$43/磅（2025年）→目标30美元初段（2026年）</w:t>
      </w:r>
    </w:p>
    <w:p>
      <w:pPr>
        <w:spacing w:after="80"/>
      </w:pPr>
      <w:r>
        <w:rPr>
          <w:rFonts w:ascii="宋体" w:hAnsi="宋体" w:eastAsia="宋体"/>
          <w:b w:val="0"/>
          <w:i w:val="0"/>
          <w:sz w:val="21"/>
        </w:rPr>
      </w:r>
    </w:p>
    <w:p>
      <w:pPr>
        <w:spacing w:before="160" w:after="40"/>
      </w:pPr>
      <w:r>
        <w:rPr>
          <w:rFonts w:ascii="黑体" w:hAnsi="黑体" w:eastAsia="黑体"/>
          <w:b/>
          <w:color w:val="0071E3"/>
          <w:sz w:val="22"/>
        </w:rPr>
        <w:t>Pinyon Plain矿山——亚利桑那州</w:t>
      </w:r>
    </w:p>
    <w:p>
      <w:pPr>
        <w:spacing w:after="80"/>
      </w:pPr>
      <w:r>
        <w:rPr>
          <w:rFonts w:ascii="宋体" w:hAnsi="宋体" w:eastAsia="宋体"/>
          <w:b w:val="0"/>
          <w:i w:val="0"/>
          <w:sz w:val="21"/>
        </w:rPr>
        <w:t>Pinyon Plain是铀矿产量增长的主要驱动力，据管理层表述，其矿石品位居美国铀矿历史最高之列。</w:t>
      </w:r>
    </w:p>
    <w:p>
      <w:pPr>
        <w:pStyle w:val="ListBullet"/>
        <w:spacing w:after="40"/>
        <w:ind w:left="360"/>
      </w:pPr>
      <w:r>
        <w:rPr>
          <w:rFonts w:ascii="宋体" w:hAnsi="宋体" w:eastAsia="宋体"/>
          <w:sz w:val="21"/>
        </w:rPr>
        <w:t>2025年全年开采矿量：约153万磅U3O8（平均品位约1.62% eU3O8）</w:t>
      </w:r>
    </w:p>
    <w:p>
      <w:pPr>
        <w:pStyle w:val="ListBullet"/>
        <w:spacing w:after="40"/>
        <w:ind w:left="360"/>
      </w:pPr>
      <w:r>
        <w:rPr>
          <w:rFonts w:ascii="宋体" w:hAnsi="宋体" w:eastAsia="宋体"/>
          <w:sz w:val="21"/>
        </w:rPr>
        <w:t>矿山寿命及资源量依然较大；持续进行开发钻探</w:t>
      </w:r>
    </w:p>
    <w:p>
      <w:pPr>
        <w:pStyle w:val="ListBullet"/>
        <w:spacing w:after="40"/>
        <w:ind w:left="360"/>
      </w:pPr>
      <w:r>
        <w:rPr>
          <w:rFonts w:ascii="宋体" w:hAnsi="宋体" w:eastAsia="宋体"/>
          <w:sz w:val="21"/>
        </w:rPr>
        <w:t>预可研报告（PFS）更新中——可能改善项目经济指标并扩大资源量估算</w:t>
      </w:r>
    </w:p>
    <w:p>
      <w:pPr>
        <w:pStyle w:val="ListBullet"/>
        <w:spacing w:after="40"/>
        <w:ind w:left="360"/>
      </w:pPr>
      <w:r>
        <w:rPr>
          <w:rFonts w:ascii="宋体" w:hAnsi="宋体" w:eastAsia="宋体"/>
          <w:sz w:val="21"/>
        </w:rPr>
        <w:t>2026年预期处理成本：$23–30/磅总成本（开采/运输$10–14/磅 + 磨矿$13–16/磅）</w:t>
      </w:r>
    </w:p>
    <w:p>
      <w:pPr>
        <w:spacing w:after="80"/>
      </w:pPr>
      <w:r>
        <w:rPr>
          <w:rFonts w:ascii="宋体" w:hAnsi="宋体" w:eastAsia="宋体"/>
          <w:b w:val="0"/>
          <w:i w:val="0"/>
          <w:sz w:val="21"/>
        </w:rPr>
      </w:r>
    </w:p>
    <w:p>
      <w:pPr>
        <w:spacing w:before="160" w:after="40"/>
      </w:pPr>
      <w:r>
        <w:rPr>
          <w:rFonts w:ascii="黑体" w:hAnsi="黑体" w:eastAsia="黑体"/>
          <w:b/>
          <w:color w:val="0071E3"/>
          <w:sz w:val="22"/>
        </w:rPr>
        <w:t>La Sal矿山群及其他矿山——犹他州/科罗拉多州</w:t>
      </w:r>
    </w:p>
    <w:p>
      <w:pPr>
        <w:pStyle w:val="ListBullet"/>
        <w:spacing w:after="40"/>
        <w:ind w:left="360"/>
      </w:pPr>
      <w:r>
        <w:rPr>
          <w:rFonts w:ascii="宋体" w:hAnsi="宋体" w:eastAsia="宋体"/>
          <w:sz w:val="21"/>
        </w:rPr>
        <w:t>La Sal矿山群（犹他州）：2025年全年贡献约19万磅含U3O8开采量</w:t>
      </w:r>
    </w:p>
    <w:p>
      <w:pPr>
        <w:pStyle w:val="ListBullet"/>
        <w:spacing w:after="40"/>
        <w:ind w:left="360"/>
      </w:pPr>
      <w:r>
        <w:rPr>
          <w:rFonts w:ascii="宋体" w:hAnsi="宋体" w:eastAsia="宋体"/>
          <w:sz w:val="21"/>
        </w:rPr>
        <w:t>Pandora矿山（科罗拉多州）：在产但产能较低</w:t>
      </w:r>
    </w:p>
    <w:p>
      <w:pPr>
        <w:pStyle w:val="ListBullet"/>
        <w:spacing w:after="40"/>
        <w:ind w:left="360"/>
      </w:pPr>
      <w:r>
        <w:rPr>
          <w:rFonts w:ascii="宋体" w:hAnsi="宋体" w:eastAsia="宋体"/>
          <w:sz w:val="21"/>
        </w:rPr>
        <w:t>Whirlwind矿山（科罗拉多州）：备用/保养维护状态</w:t>
      </w:r>
    </w:p>
    <w:p>
      <w:pPr>
        <w:pStyle w:val="ListBullet"/>
        <w:spacing w:after="40"/>
        <w:ind w:left="360"/>
      </w:pPr>
      <w:r>
        <w:rPr>
          <w:rFonts w:ascii="宋体" w:hAnsi="宋体" w:eastAsia="宋体"/>
          <w:sz w:val="21"/>
        </w:rPr>
        <w:t>管理层指引：2026年将根据200–250万磅目标的需要，视情况重启其他矿山</w:t>
      </w:r>
    </w:p>
    <w:p>
      <w:pPr>
        <w:spacing w:after="80"/>
      </w:pPr>
      <w:r>
        <w:rPr>
          <w:rFonts w:ascii="宋体" w:hAnsi="宋体" w:eastAsia="宋体"/>
          <w:b w:val="0"/>
          <w:i w:val="0"/>
          <w:sz w:val="21"/>
        </w:rPr>
      </w:r>
    </w:p>
    <w:p>
      <w:pPr>
        <w:spacing w:before="160" w:after="40"/>
      </w:pPr>
      <w:r>
        <w:rPr>
          <w:rFonts w:ascii="黑体" w:hAnsi="黑体" w:eastAsia="黑体"/>
          <w:b/>
          <w:color w:val="0071E3"/>
          <w:sz w:val="22"/>
        </w:rPr>
        <w:t>稀土分离设施——战略愿景</w:t>
      </w:r>
    </w:p>
    <w:p>
      <w:pPr>
        <w:spacing w:after="80"/>
      </w:pPr>
      <w:r>
        <w:rPr>
          <w:rFonts w:ascii="宋体" w:hAnsi="宋体" w:eastAsia="宋体"/>
          <w:b w:val="0"/>
          <w:i w:val="0"/>
          <w:sz w:val="21"/>
        </w:rPr>
        <w:t>管理层在此次电话会议上就REE扩张路线图给出了迄今最为详尽的规划：</w:t>
      </w:r>
    </w:p>
    <w:p>
      <w:pPr>
        <w:pStyle w:val="ListBullet"/>
        <w:spacing w:after="40"/>
        <w:ind w:left="360"/>
      </w:pPr>
      <w:r>
        <w:rPr>
          <w:rFonts w:ascii="宋体" w:hAnsi="宋体" w:eastAsia="宋体"/>
          <w:sz w:val="21"/>
        </w:rPr>
        <w:t>一期（现状）：从独居石中分离NdPr；一期B/C全规模下约850–1,000吨NdPr/年</w:t>
      </w:r>
    </w:p>
    <w:p>
      <w:pPr>
        <w:pStyle w:val="ListBullet"/>
        <w:spacing w:after="40"/>
        <w:ind w:left="360"/>
      </w:pPr>
      <w:r>
        <w:rPr>
          <w:rFonts w:ascii="宋体" w:hAnsi="宋体" w:eastAsia="宋体"/>
          <w:sz w:val="21"/>
        </w:rPr>
        <w:t>一期商业规模Dy/Tb/Sm分离：目标2026年Q4在White Mesa完成投产</w:t>
      </w:r>
    </w:p>
    <w:p>
      <w:pPr>
        <w:pStyle w:val="ListBullet"/>
        <w:spacing w:after="40"/>
        <w:ind w:left="360"/>
      </w:pPr>
      <w:r>
        <w:rPr>
          <w:rFonts w:ascii="宋体" w:hAnsi="宋体" w:eastAsia="宋体"/>
          <w:sz w:val="21"/>
        </w:rPr>
        <w:t>二期可行性研究（2026年1月发布）：资本开支4.1亿美元，40年项目周期；年产5,513吨NdPr+165吨Dy+48吨Tb</w:t>
      </w:r>
    </w:p>
    <w:p>
      <w:pPr>
        <w:pStyle w:val="ListBullet"/>
        <w:spacing w:after="40"/>
        <w:ind w:left="360"/>
      </w:pPr>
      <w:r>
        <w:rPr>
          <w:rFonts w:ascii="宋体" w:hAnsi="宋体" w:eastAsia="宋体"/>
          <w:sz w:val="21"/>
        </w:rPr>
        <w:t>二期NPV：单独19亿美元；结合Vara Mada（马达加斯加）原料后37亿美元</w:t>
      </w:r>
    </w:p>
    <w:p>
      <w:pPr>
        <w:pStyle w:val="ListBullet"/>
        <w:spacing w:after="40"/>
        <w:ind w:left="360"/>
      </w:pPr>
      <w:r>
        <w:rPr>
          <w:rFonts w:ascii="宋体" w:hAnsi="宋体" w:eastAsia="宋体"/>
          <w:sz w:val="21"/>
        </w:rPr>
        <w:t>二期+Vara Mada年度EBITDA：约7.65亿美元（前15年）</w:t>
      </w:r>
    </w:p>
    <w:p>
      <w:pPr>
        <w:pStyle w:val="ListBullet"/>
        <w:spacing w:after="40"/>
        <w:ind w:left="360"/>
      </w:pPr>
      <w:r>
        <w:rPr>
          <w:rFonts w:ascii="宋体" w:hAnsi="宋体" w:eastAsia="宋体"/>
          <w:sz w:val="21"/>
        </w:rPr>
        <w:t>二期税后IRR：33%；每股NPV：$7.96（单独二期）至$15.26（二期+Vara Mada）</w:t>
      </w:r>
    </w:p>
    <w:p>
      <w:pPr>
        <w:pStyle w:val="ListBullet"/>
        <w:spacing w:after="40"/>
        <w:ind w:left="360"/>
      </w:pPr>
      <w:r>
        <w:rPr>
          <w:rFonts w:ascii="宋体" w:hAnsi="宋体" w:eastAsia="宋体"/>
          <w:sz w:val="21"/>
        </w:rPr>
        <w:t>Donald项目（澳大利亚）：提供重稀土原料——FID计划2026年Q1，2027年H2投产</w:t>
      </w:r>
    </w:p>
    <w:p>
      <w:pPr>
        <w:spacing w:after="80"/>
      </w:pPr>
      <w:r>
        <w:rPr>
          <w:rFonts w:ascii="宋体" w:hAnsi="宋体" w:eastAsia="宋体"/>
          <w:b w:val="0"/>
          <w:i w:val="0"/>
          <w:sz w:val="21"/>
        </w:rPr>
      </w:r>
    </w:p>
    <w:p>
      <w:pPr>
        <w:spacing w:before="160" w:after="40"/>
      </w:pPr>
      <w:r>
        <w:rPr>
          <w:rFonts w:ascii="黑体" w:hAnsi="黑体" w:eastAsia="黑体"/>
          <w:b/>
          <w:color w:val="0071E3"/>
          <w:sz w:val="22"/>
        </w:rPr>
        <w:t>重大战略公告与并购</w:t>
      </w:r>
    </w:p>
    <w:p>
      <w:pPr>
        <w:pStyle w:val="ListBullet"/>
        <w:spacing w:after="40"/>
        <w:ind w:left="360"/>
      </w:pPr>
      <w:r>
        <w:rPr>
          <w:rFonts w:ascii="宋体" w:hAnsi="宋体" w:eastAsia="宋体"/>
          <w:sz w:val="21"/>
        </w:rPr>
        <w:t>Australian Strategic Materials（ASM，ASX上市）收购：Energy Fuels同意收购ASM，新增下游稀土金属合金生产能力，从而构建西方世界唯一的完整关键矿产供应链</w:t>
      </w:r>
    </w:p>
    <w:p>
      <w:pPr>
        <w:pStyle w:val="ListBullet"/>
        <w:spacing w:after="40"/>
        <w:ind w:left="360"/>
      </w:pPr>
      <w:r>
        <w:rPr>
          <w:rFonts w:ascii="宋体" w:hAnsi="宋体" w:eastAsia="宋体"/>
          <w:sz w:val="21"/>
        </w:rPr>
        <w:t>2025年Q4签署两份新增长期铀供应合同（现共持有6份，履约至2032年）</w:t>
      </w:r>
    </w:p>
    <w:p>
      <w:pPr>
        <w:pStyle w:val="ListBullet"/>
        <w:spacing w:after="40"/>
        <w:ind w:left="360"/>
      </w:pPr>
      <w:r>
        <w:rPr>
          <w:rFonts w:ascii="宋体" w:hAnsi="宋体" w:eastAsia="宋体"/>
          <w:sz w:val="21"/>
        </w:rPr>
        <w:t>Export Finance Australia为Donald项目出具非约束性8,000万澳元债务融资意向函</w:t>
      </w:r>
    </w:p>
    <w:p>
      <w:pPr>
        <w:pStyle w:val="ListBullet"/>
        <w:spacing w:after="40"/>
        <w:ind w:left="360"/>
      </w:pPr>
      <w:r>
        <w:rPr>
          <w:rFonts w:ascii="宋体" w:hAnsi="宋体" w:eastAsia="宋体"/>
          <w:sz w:val="21"/>
        </w:rPr>
        <w:t>与Vulcan Elements成立合资公司，共同推进美国稀土永磁体供应安全</w:t>
      </w:r>
    </w:p>
    <w:p>
      <w:pPr>
        <w:pStyle w:val="ListBullet"/>
        <w:spacing w:after="40"/>
        <w:ind w:left="360"/>
      </w:pPr>
      <w:r>
        <w:rPr>
          <w:rFonts w:ascii="宋体" w:hAnsi="宋体" w:eastAsia="宋体"/>
          <w:sz w:val="21"/>
        </w:rPr>
        <w:t>管理层交接：Mark Chalmers退休，Ross Bhappu于2026年4月15日接任CEO</w:t>
      </w:r>
    </w:p>
    <w:p>
      <w:pPr>
        <w:spacing w:after="160"/>
      </w:pPr>
      <w:r>
        <w:rPr>
          <w:rFonts w:ascii="宋体" w:hAnsi="宋体" w:eastAsia="宋体"/>
          <w:b w:val="0"/>
          <w:i w:val="0"/>
          <w:sz w:val="21"/>
        </w:rPr>
      </w:r>
    </w:p>
    <w:p>
      <w:r>
        <w:br w:type="page"/>
      </w:r>
    </w:p>
    <w:p>
      <w:pPr>
        <w:spacing w:before="240" w:after="80"/>
        <w:pBdr>
          <w:bottom w:val="single" w:sz="6" w:space="1" w:color="1C1C4D"/>
        </w:pBdr>
      </w:pPr>
      <w:r>
        <w:rPr>
          <w:rFonts w:ascii="黑体" w:hAnsi="黑体" w:eastAsia="黑体"/>
          <w:b/>
          <w:color w:val="1C1C4D"/>
          <w:sz w:val="26"/>
        </w:rPr>
        <w:t>六、分析师反应与目标价（业绩发布后）</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分析机构</w:t>
            </w:r>
          </w:p>
        </w:tc>
        <w:tc>
          <w:tcPr>
            <w:tcW w:type="dxa" w:w="115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评级</w:t>
            </w:r>
          </w:p>
        </w:tc>
        <w:tc>
          <w:tcPr>
            <w:tcW w:type="dxa" w:w="244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目标价</w:t>
            </w:r>
          </w:p>
        </w:tc>
        <w:tc>
          <w:tcPr>
            <w:tcW w:type="dxa" w:w="172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变动</w:t>
            </w:r>
          </w:p>
        </w:tc>
        <w:tc>
          <w:tcPr>
            <w:tcW w:type="dxa" w:w="4032"/>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核心观点</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H.C. Wainwright</w:t>
            </w:r>
          </w:p>
        </w:tc>
        <w:tc>
          <w:tcPr>
            <w:tcW w:type="dxa" w:w="115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买入</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$27.25</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上调（原$26.75）</w:t>
            </w:r>
          </w:p>
        </w:tc>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铀矿产量加速增长；Pinyon Plain预可研催化剂；REE中试里程碑降低一期风险</w:t>
            </w:r>
          </w:p>
        </w:tc>
      </w:tr>
      <w:tr>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市场一致（6–8家机构）</w:t>
            </w:r>
          </w:p>
        </w:tc>
        <w:tc>
          <w:tcPr>
            <w:tcW w:type="dxa" w:w="115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强力买入</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均值$23.08（区间$15.50–$34.00）</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7家买入 / 1家持有 / 0家卖出（截至2026年3月9日）</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隐含上涨空间（均值目标价）</w:t>
            </w:r>
          </w:p>
        </w:tc>
        <w:tc>
          <w:tcPr>
            <w:tcW w:type="dxa" w:w="115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约+24%（vs当前价）</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基于$23.08均值目标价vs当前股价$18.67</w:t>
            </w:r>
          </w:p>
        </w:tc>
      </w:tr>
      <w:tr>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隐含上涨空间（HC W.目标价）</w:t>
            </w:r>
          </w:p>
        </w:tc>
        <w:tc>
          <w:tcPr>
            <w:tcW w:type="dxa" w:w="115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约+46%（vs当前价）</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基于$27.25 vs $18.67当前股价</w:t>
            </w:r>
          </w:p>
        </w:tc>
      </w:tr>
    </w:tbl>
    <w:p>
      <w:pPr>
        <w:spacing w:after="80"/>
      </w:pPr>
      <w:r>
        <w:rPr>
          <w:rFonts w:ascii="宋体" w:hAnsi="宋体" w:eastAsia="宋体"/>
          <w:b w:val="0"/>
          <w:i w:val="0"/>
          <w:sz w:val="21"/>
        </w:rPr>
      </w:r>
    </w:p>
    <w:p>
      <w:pPr>
        <w:spacing w:after="120"/>
      </w:pPr>
      <w:r>
        <w:rPr>
          <w:rFonts w:ascii="宋体" w:hAnsi="宋体" w:eastAsia="宋体"/>
          <w:b w:val="0"/>
          <w:i w:val="0"/>
          <w:sz w:val="21"/>
        </w:rPr>
        <w:t>尽管Q4 2025每股收益较预期差$0.01，但营收小幅超出预期，加之2026年指引强劲（铀矿销售量1.5–200万磅，相较2025年的65万磅增加逾倍），总体市场反应较为积极。二期REE可行性研究净现值19亿–37亿美元，被分析师视为当前市值（约45亿美元）下尚未得到充分定价的核心资产。ASM收购增添下游合金产能，被认为在战略上完善了西方关键矿产供应链，并可能吸引政府（DOE/DOD）签订采购协议及提供融资支持。</w:t>
      </w:r>
    </w:p>
    <w:p>
      <w:pPr>
        <w:jc w:val="center"/>
      </w:pPr>
      <w:r>
        <w:drawing>
          <wp:inline xmlns:a="http://schemas.openxmlformats.org/drawingml/2006/main" xmlns:pic="http://schemas.openxmlformats.org/drawingml/2006/picture">
            <wp:extent cx="5943600" cy="3304095"/>
            <wp:docPr id="11" name="Picture 11"/>
            <wp:cNvGraphicFramePr>
              <a:graphicFrameLocks noChangeAspect="1"/>
            </wp:cNvGraphicFramePr>
            <a:graphic>
              <a:graphicData uri="http://schemas.openxmlformats.org/drawingml/2006/picture">
                <pic:pic>
                  <pic:nvPicPr>
                    <pic:cNvPr id="0" name="uuuu_chart10_price_targets.png"/>
                    <pic:cNvPicPr/>
                  </pic:nvPicPr>
                  <pic:blipFill>
                    <a:blip r:embed="rId19"/>
                    <a:stretch>
                      <a:fillRect/>
                    </a:stretch>
                  </pic:blipFill>
                  <pic:spPr>
                    <a:xfrm>
                      <a:off x="0" y="0"/>
                      <a:ext cx="5943600" cy="3304095"/>
                    </a:xfrm>
                    <a:prstGeom prst="rect"/>
                  </pic:spPr>
                </pic:pic>
              </a:graphicData>
            </a:graphic>
          </wp:inline>
        </w:drawing>
      </w:r>
    </w:p>
    <w:p>
      <w:pPr>
        <w:spacing w:after="120"/>
        <w:jc w:val="center"/>
      </w:pPr>
      <w:r>
        <w:rPr>
          <w:rFonts w:ascii="宋体" w:hAnsi="宋体"/>
          <w:i/>
          <w:color w:val="8E8E93"/>
          <w:sz w:val="17"/>
        </w:rPr>
        <w:t>图10：分析师目标价 vs 当前股价（2026年3月）</w:t>
      </w:r>
    </w:p>
    <w:p>
      <w:pPr>
        <w:spacing w:before="240" w:after="80"/>
        <w:pBdr>
          <w:bottom w:val="single" w:sz="6" w:space="1" w:color="1C1C4D"/>
        </w:pBdr>
      </w:pPr>
      <w:r>
        <w:rPr>
          <w:rFonts w:ascii="黑体" w:hAnsi="黑体" w:eastAsia="黑体"/>
          <w:b/>
          <w:color w:val="1C1C4D"/>
          <w:sz w:val="26"/>
        </w:rPr>
        <w:t>七、股价与市场数据</w:t>
      </w:r>
    </w:p>
    <w:tbl>
      <w:tblPr>
        <w:tblStyle w:val="TableGrid"/>
        <w:tblW w:type="auto" w:w="0"/>
        <w:jc w:val="center"/>
        <w:tblLook w:firstColumn="1" w:firstRow="1" w:lastColumn="0" w:lastRow="0" w:noHBand="0" w:noVBand="1" w:val="04A0"/>
      </w:tblPr>
      <w:tblGrid>
        <w:gridCol w:w="4986"/>
        <w:gridCol w:w="4986"/>
      </w:tblGrid>
      <w:tr>
        <w:tc>
          <w:tcPr>
            <w:tcW w:type="dxa" w:w="432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指标</w:t>
            </w:r>
          </w:p>
        </w:tc>
        <w:tc>
          <w:tcPr>
            <w:tcW w:type="dxa" w:w="648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数值</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当前股价（2026年3月16日）</w:t>
            </w:r>
          </w:p>
        </w:tc>
        <w:tc>
          <w:tcPr>
            <w:tcW w:type="dxa" w:w="64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约$18.67</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市值</w:t>
            </w:r>
          </w:p>
        </w:tc>
        <w:tc>
          <w:tcPr>
            <w:tcW w:type="dxa" w:w="64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约$45.1亿</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52周区间</w:t>
            </w:r>
          </w:p>
        </w:tc>
        <w:tc>
          <w:tcPr>
            <w:tcW w:type="dxa" w:w="64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$3.20 – $27.90</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交易所</w:t>
            </w:r>
          </w:p>
        </w:tc>
        <w:tc>
          <w:tcPr>
            <w:tcW w:type="dxa" w:w="64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美国证交所（UUUU）/ 多伦多证交所（EFR）</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流通股数（约）</w:t>
            </w:r>
          </w:p>
        </w:tc>
        <w:tc>
          <w:tcPr>
            <w:tcW w:type="dxa" w:w="64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约2.42亿股</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企业价值（约）</w:t>
            </w:r>
          </w:p>
        </w:tc>
        <w:tc>
          <w:tcPr>
            <w:tcW w:type="dxa" w:w="64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约$43.5亿（净现金约1.62亿美元，扣除可转换票据后）</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EV / 2025年营收</w:t>
            </w:r>
          </w:p>
        </w:tc>
        <w:tc>
          <w:tcPr>
            <w:tcW w:type="dxa" w:w="64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约66倍（成长期溢价）</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EV / 2026年预期营收（市场一致）</w:t>
            </w:r>
          </w:p>
        </w:tc>
        <w:tc>
          <w:tcPr>
            <w:tcW w:type="dxa" w:w="64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约17–20倍（按175万磅@$80/磅=约1.4亿美元营收估算）</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下次业绩发布日期</w:t>
            </w:r>
          </w:p>
        </w:tc>
        <w:tc>
          <w:tcPr>
            <w:tcW w:type="dxa" w:w="64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约2026年5月7日（2026年Q1）</w:t>
            </w:r>
          </w:p>
        </w:tc>
      </w:tr>
    </w:tbl>
    <w:p>
      <w:pPr>
        <w:spacing w:after="80"/>
      </w:pPr>
      <w:r>
        <w:rPr>
          <w:rFonts w:ascii="宋体" w:hAnsi="宋体" w:eastAsia="宋体"/>
          <w:b w:val="0"/>
          <w:i w:val="0"/>
          <w:sz w:val="21"/>
        </w:rPr>
      </w:r>
    </w:p>
    <w:p>
      <w:pPr>
        <w:spacing w:after="160"/>
      </w:pPr>
      <w:r>
        <w:rPr>
          <w:rFonts w:ascii="宋体" w:hAnsi="宋体" w:eastAsia="宋体"/>
          <w:b w:val="0"/>
          <w:i w:val="0"/>
          <w:sz w:val="21"/>
        </w:rPr>
        <w:t>UUUU股价从2025年4月低点（约$3.20）大幅上涨近400%，至52周高位$27.90，主要驱动因素为7亿美元可转换票据发行、稀土里程碑突破及铀矿产量加速。自2026年1月高点以来，股价回调至约$18.67，主要因铀矿现货价格走软及大盘波动加大。当前约45亿美元市值远超当期盈利水平，但内嵌了REE二期+Vara Mada项目37亿美元NPV带来的巨大期权价值。</w:t>
      </w:r>
    </w:p>
    <w:p>
      <w:r>
        <w:br w:type="page"/>
      </w:r>
    </w:p>
    <w:p>
      <w:pPr>
        <w:spacing w:before="240" w:after="80"/>
        <w:pBdr>
          <w:bottom w:val="single" w:sz="6" w:space="1" w:color="1C1C4D"/>
        </w:pBdr>
      </w:pPr>
      <w:r>
        <w:rPr>
          <w:rFonts w:ascii="黑体" w:hAnsi="黑体" w:eastAsia="黑体"/>
          <w:b/>
          <w:color w:val="1C1C4D"/>
          <w:sz w:val="26"/>
        </w:rPr>
        <w:t>八、历史季度数据——趋势分析</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季度</w:t>
            </w:r>
          </w:p>
        </w:tc>
        <w:tc>
          <w:tcPr>
            <w:tcW w:type="dxa" w:w="1728"/>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营收（百万美元）</w:t>
            </w:r>
          </w:p>
        </w:tc>
        <w:tc>
          <w:tcPr>
            <w:tcW w:type="dxa" w:w="216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净利润/（亏损）（百万美元）</w:t>
            </w:r>
          </w:p>
        </w:tc>
        <w:tc>
          <w:tcPr>
            <w:tcW w:type="dxa" w:w="1296"/>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每股收益（美元）</w:t>
            </w:r>
          </w:p>
        </w:tc>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铀矿销量（千磅）</w:t>
            </w:r>
          </w:p>
        </w:tc>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铀价（美元/磅）</w:t>
            </w:r>
          </w:p>
        </w:tc>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rFonts w:ascii="黑体" w:hAnsi="黑体" w:eastAsia="黑体"/>
                <w:b/>
                <w:color w:val="FFFFFF"/>
                <w:sz w:val="18"/>
              </w:rPr>
              <w:t>铀矿营收（百万美元）</w:t>
            </w:r>
          </w:p>
        </w:tc>
      </w:tr>
      <w:tr>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2024年Q1</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$25.3</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+$3.6</w:t>
            </w:r>
          </w:p>
        </w:tc>
        <w:tc>
          <w:tcPr>
            <w:tcW w:type="dxa" w:w="1296"/>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+$0.02</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300</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$84.4</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$25.3</w:t>
            </w:r>
          </w:p>
        </w:tc>
      </w:tr>
      <w:tr>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2024年Q2</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约$16.2</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约（$9.8）</w:t>
            </w:r>
          </w:p>
        </w:tc>
        <w:tc>
          <w:tcPr>
            <w:tcW w:type="dxa" w:w="1296"/>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（$0.06）</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约$0</w:t>
            </w:r>
          </w:p>
        </w:tc>
      </w:tr>
      <w:tr>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2024年Q3</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约$23.7</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约（$12.8）</w:t>
            </w:r>
          </w:p>
        </w:tc>
        <w:tc>
          <w:tcPr>
            <w:tcW w:type="dxa" w:w="1296"/>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（$0.07）</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约0</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约$0</w:t>
            </w:r>
          </w:p>
        </w:tc>
      </w:tr>
      <w:tr>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2024年Q4</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约$39.9</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（$28.8）</w:t>
            </w:r>
          </w:p>
        </w:tc>
        <w:tc>
          <w:tcPr>
            <w:tcW w:type="dxa" w:w="1296"/>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（$0.19）</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约150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约$84</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约$12.6</w:t>
            </w:r>
          </w:p>
        </w:tc>
      </w:tr>
      <w:tr>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2024年全年</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$78.1</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（$47.8）</w:t>
            </w:r>
          </w:p>
        </w:tc>
        <w:tc>
          <w:tcPr>
            <w:tcW w:type="dxa" w:w="1296"/>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（$0.28）</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450</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$87.2</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$37.9</w:t>
            </w:r>
          </w:p>
        </w:tc>
      </w:tr>
      <w:tr>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2025年Q1</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$16.9</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（$26.3）</w:t>
            </w:r>
          </w:p>
        </w:tc>
        <w:tc>
          <w:tcPr>
            <w:tcW w:type="dxa" w:w="1296"/>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（$0.13）</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约50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约$80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约$7.0</w:t>
            </w:r>
          </w:p>
        </w:tc>
      </w:tr>
      <w:tr>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2025年Q2</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约$12.7</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（$22.2）</w:t>
            </w:r>
          </w:p>
        </w:tc>
        <w:tc>
          <w:tcPr>
            <w:tcW w:type="dxa" w:w="1296"/>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（$0.10）</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约150</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约$79</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约$4.2</w:t>
            </w:r>
          </w:p>
        </w:tc>
      </w:tr>
      <w:tr>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2025年Q3</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$17.7</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（$16.7）</w:t>
            </w:r>
          </w:p>
        </w:tc>
        <w:tc>
          <w:tcPr>
            <w:tcW w:type="dxa" w:w="1296"/>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（$0.07）</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240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约$70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$10.4</w:t>
            </w:r>
          </w:p>
        </w:tc>
      </w:tr>
      <w:tr>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2025年Q4</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$27.1</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约（$20.9）</w:t>
            </w:r>
          </w:p>
        </w:tc>
        <w:tc>
          <w:tcPr>
            <w:tcW w:type="dxa" w:w="1296"/>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（$0.08）</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360</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$74.93</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约$27.0</w:t>
            </w:r>
          </w:p>
        </w:tc>
      </w:tr>
      <w:tr>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2025年全年</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$65.9</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（$86.1）</w:t>
            </w:r>
          </w:p>
        </w:tc>
        <w:tc>
          <w:tcPr>
            <w:tcW w:type="dxa" w:w="1296"/>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（$0.38）</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650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$74.21</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宋体" w:hAnsi="宋体" w:eastAsia="宋体"/>
                <w:sz w:val="18"/>
              </w:rPr>
              <w:t>$48.2</w:t>
            </w:r>
          </w:p>
        </w:tc>
      </w:tr>
    </w:tbl>
    <w:p>
      <w:pPr>
        <w:spacing w:after="80"/>
      </w:pPr>
      <w:r>
        <w:rPr>
          <w:rFonts w:ascii="宋体" w:hAnsi="宋体" w:eastAsia="宋体"/>
          <w:b w:val="0"/>
          <w:i/>
          <w:color w:val="8E8E93"/>
          <w:sz w:val="17"/>
        </w:rPr>
        <w:t>资料来源：Energy Fuels季度业绩新闻稿（2024年Q1–Q4，2025年Q1–Q4）；Zacks；StockTitan SEC文件。</w:t>
      </w:r>
    </w:p>
    <w:p>
      <w:pPr>
        <w:spacing w:after="80"/>
      </w:pPr>
      <w:r>
        <w:rPr>
          <w:rFonts w:ascii="宋体" w:hAnsi="宋体" w:eastAsia="宋体"/>
          <w:b w:val="0"/>
          <w:i w:val="0"/>
          <w:sz w:val="21"/>
        </w:rPr>
      </w:r>
    </w:p>
    <w:p>
      <w:pPr>
        <w:spacing w:after="160"/>
      </w:pPr>
      <w:r>
        <w:rPr>
          <w:rFonts w:ascii="宋体" w:hAnsi="宋体" w:eastAsia="宋体"/>
          <w:b w:val="0"/>
          <w:i w:val="0"/>
          <w:sz w:val="21"/>
        </w:rPr>
        <w:t>季度数据揭示的主要趋势：（1）2024年Q2和Q3铀矿销售量为零，公司在此期间积累库存；（2）铀矿销售量在2025年下半年大幅加速，2025年Q4成为公司历史上单季铀矿营收最高的季度；（3）2025年全年单位经济效益持续改善（每磅销售成本逐季下降）；（4）重矿砂营收随Kwale停产趋向归零；（5）2025年净亏损轨迹反映的是高强度投资/产能爬坡成本，而非结构性经营亏损。</w:t>
      </w:r>
    </w:p>
    <w:p>
      <w:pPr>
        <w:spacing w:before="240" w:after="80"/>
        <w:pBdr>
          <w:bottom w:val="single" w:sz="6" w:space="1" w:color="1C1C4D"/>
        </w:pBdr>
      </w:pPr>
      <w:r>
        <w:rPr>
          <w:rFonts w:ascii="黑体" w:hAnsi="黑体" w:eastAsia="黑体"/>
          <w:b/>
          <w:color w:val="1C1C4D"/>
          <w:sz w:val="26"/>
        </w:rPr>
        <w:t>九、主要风险因素</w:t>
      </w:r>
    </w:p>
    <w:p>
      <w:pPr>
        <w:spacing w:before="160" w:after="40"/>
      </w:pPr>
      <w:r>
        <w:rPr>
          <w:rFonts w:ascii="黑体" w:hAnsi="黑体" w:eastAsia="黑体"/>
          <w:b/>
          <w:color w:val="CC0000"/>
          <w:sz w:val="22"/>
        </w:rPr>
        <w:t>下行风险</w:t>
      </w:r>
    </w:p>
    <w:p>
      <w:pPr>
        <w:pStyle w:val="ListBullet"/>
        <w:spacing w:after="40"/>
        <w:ind w:left="360"/>
      </w:pPr>
      <w:r>
        <w:rPr>
          <w:rFonts w:ascii="宋体" w:hAnsi="宋体" w:eastAsia="宋体"/>
          <w:sz w:val="21"/>
        </w:rPr>
        <w:t>铀矿价格风险：现货价格持续波动；若跌破$60/磅将显著压缩毛利率</w:t>
      </w:r>
    </w:p>
    <w:p>
      <w:pPr>
        <w:pStyle w:val="ListBullet"/>
        <w:spacing w:after="40"/>
        <w:ind w:left="360"/>
      </w:pPr>
      <w:r>
        <w:rPr>
          <w:rFonts w:ascii="宋体" w:hAnsi="宋体" w:eastAsia="宋体"/>
          <w:sz w:val="21"/>
        </w:rPr>
        <w:t>执行风险：二期REE资本开支（4.1亿美元）需要融资——依赖资本市场、政府支持或采购协议</w:t>
      </w:r>
    </w:p>
    <w:p>
      <w:pPr>
        <w:pStyle w:val="ListBullet"/>
        <w:spacing w:after="40"/>
        <w:ind w:left="360"/>
      </w:pPr>
      <w:r>
        <w:rPr>
          <w:rFonts w:ascii="宋体" w:hAnsi="宋体" w:eastAsia="宋体"/>
          <w:sz w:val="21"/>
        </w:rPr>
        <w:t>股权稀释风险：7亿美元可转换票据在$20.34/股转换价格下可产生约3,440万股潜在稀释</w:t>
      </w:r>
    </w:p>
    <w:p>
      <w:pPr>
        <w:pStyle w:val="ListBullet"/>
        <w:spacing w:after="40"/>
        <w:ind w:left="360"/>
      </w:pPr>
      <w:r>
        <w:rPr>
          <w:rFonts w:ascii="宋体" w:hAnsi="宋体" w:eastAsia="宋体"/>
          <w:sz w:val="21"/>
        </w:rPr>
        <w:t>监管/许可风险：Vara Mada（马达加斯加）需与政府谈判；Donald项目仍需环境审批</w:t>
      </w:r>
    </w:p>
    <w:p>
      <w:pPr>
        <w:pStyle w:val="ListBullet"/>
        <w:spacing w:after="40"/>
        <w:ind w:left="360"/>
      </w:pPr>
      <w:r>
        <w:rPr>
          <w:rFonts w:ascii="宋体" w:hAnsi="宋体" w:eastAsia="宋体"/>
          <w:sz w:val="21"/>
        </w:rPr>
        <w:t>稀土价格风险：NdPr、Dy、Tb价格受中国供应政策及全球电动汽车需求波动影响</w:t>
      </w:r>
    </w:p>
    <w:p>
      <w:pPr>
        <w:pStyle w:val="ListBullet"/>
        <w:spacing w:after="40"/>
        <w:ind w:left="360"/>
      </w:pPr>
      <w:r>
        <w:rPr>
          <w:rFonts w:ascii="宋体" w:hAnsi="宋体" w:eastAsia="宋体"/>
          <w:sz w:val="21"/>
        </w:rPr>
        <w:t>管理层交接风险：CEO换届（Bhappu接任Chalmers）带来执行连续性不确定性</w:t>
      </w:r>
    </w:p>
    <w:p>
      <w:pPr>
        <w:spacing w:after="80"/>
      </w:pPr>
      <w:r>
        <w:rPr>
          <w:rFonts w:ascii="宋体" w:hAnsi="宋体" w:eastAsia="宋体"/>
          <w:b w:val="0"/>
          <w:i w:val="0"/>
          <w:sz w:val="21"/>
        </w:rPr>
      </w:r>
    </w:p>
    <w:p>
      <w:pPr>
        <w:spacing w:before="160" w:after="40"/>
      </w:pPr>
      <w:r>
        <w:rPr>
          <w:rFonts w:ascii="黑体" w:hAnsi="黑体" w:eastAsia="黑体"/>
          <w:b/>
          <w:color w:val="1E8A44"/>
          <w:sz w:val="22"/>
        </w:rPr>
        <w:t>上行催化剂</w:t>
      </w:r>
    </w:p>
    <w:p>
      <w:pPr>
        <w:pStyle w:val="ListBullet"/>
        <w:spacing w:after="40"/>
        <w:ind w:left="360"/>
      </w:pPr>
      <w:r>
        <w:rPr>
          <w:rFonts w:ascii="宋体" w:hAnsi="宋体" w:eastAsia="宋体"/>
          <w:sz w:val="21"/>
        </w:rPr>
        <w:t>铀矿价格反弹至$100+/磅——在2026年计划销售量150–200万磅的基础上，具有显著的业绩弹性</w:t>
      </w:r>
    </w:p>
    <w:p>
      <w:pPr>
        <w:pStyle w:val="ListBullet"/>
        <w:spacing w:after="40"/>
        <w:ind w:left="360"/>
      </w:pPr>
      <w:r>
        <w:rPr>
          <w:rFonts w:ascii="宋体" w:hAnsi="宋体" w:eastAsia="宋体"/>
          <w:sz w:val="21"/>
        </w:rPr>
        <w:t>DOE/DOD签订REE采购合同——政府采购将降低二期建设融资风险</w:t>
      </w:r>
    </w:p>
    <w:p>
      <w:pPr>
        <w:pStyle w:val="ListBullet"/>
        <w:spacing w:after="40"/>
        <w:ind w:left="360"/>
      </w:pPr>
      <w:r>
        <w:rPr>
          <w:rFonts w:ascii="宋体" w:hAnsi="宋体" w:eastAsia="宋体"/>
          <w:sz w:val="21"/>
        </w:rPr>
        <w:t>稀土二期最终投资决定（FID）及融资安排落地公告</w:t>
      </w:r>
    </w:p>
    <w:p>
      <w:pPr>
        <w:pStyle w:val="ListBullet"/>
        <w:spacing w:after="40"/>
        <w:ind w:left="360"/>
      </w:pPr>
      <w:r>
        <w:rPr>
          <w:rFonts w:ascii="宋体" w:hAnsi="宋体" w:eastAsia="宋体"/>
          <w:sz w:val="21"/>
        </w:rPr>
        <w:t>Donald项目（澳大利亚）确认FID并正式启动开采</w:t>
      </w:r>
    </w:p>
    <w:p>
      <w:pPr>
        <w:pStyle w:val="ListBullet"/>
        <w:spacing w:after="40"/>
        <w:ind w:left="360"/>
      </w:pPr>
      <w:r>
        <w:rPr>
          <w:rFonts w:ascii="宋体" w:hAnsi="宋体" w:eastAsia="宋体"/>
          <w:sz w:val="21"/>
        </w:rPr>
        <w:t>钒库存变现——90.5万磅V2O5按当前$6–7/磅可产生约500–700万美元收入</w:t>
      </w:r>
    </w:p>
    <w:p>
      <w:pPr>
        <w:pStyle w:val="ListBullet"/>
        <w:spacing w:after="40"/>
        <w:ind w:left="360"/>
      </w:pPr>
      <w:r>
        <w:rPr>
          <w:rFonts w:ascii="宋体" w:hAnsi="宋体" w:eastAsia="宋体"/>
          <w:sz w:val="21"/>
        </w:rPr>
        <w:t>Pinyon Plain预可研报告更新，改善资源量估算或矿山寿命延长</w:t>
      </w:r>
    </w:p>
    <w:p>
      <w:pPr>
        <w:pStyle w:val="ListBullet"/>
        <w:spacing w:after="40"/>
        <w:ind w:left="360"/>
      </w:pPr>
      <w:r>
        <w:rPr>
          <w:rFonts w:ascii="宋体" w:hAnsi="宋体" w:eastAsia="宋体"/>
          <w:sz w:val="21"/>
        </w:rPr>
        <w:t>医疗同位素（Ra-226）商业协议签署——为关键矿产战略提供进一步多元化</w:t>
      </w:r>
    </w:p>
    <w:p>
      <w:pPr>
        <w:spacing w:after="160"/>
      </w:pPr>
      <w:r>
        <w:rPr>
          <w:rFonts w:ascii="宋体" w:hAnsi="宋体" w:eastAsia="宋体"/>
          <w:b w:val="0"/>
          <w:i w:val="0"/>
          <w:sz w:val="21"/>
        </w:rPr>
      </w:r>
    </w:p>
    <w:p>
      <w:pPr>
        <w:pBdr>
          <w:bottom w:val="single" w:sz="4" w:space="1" w:color="CCCCCC"/>
        </w:pBdr>
        <w:spacing w:after="80"/>
      </w:pPr>
    </w:p>
    <w:p>
      <w:pPr>
        <w:spacing w:before="160" w:after="40"/>
      </w:pPr>
      <w:r>
        <w:rPr>
          <w:rFonts w:ascii="黑体" w:hAnsi="黑体" w:eastAsia="黑体"/>
          <w:b/>
          <w:color w:val="8E8E93"/>
          <w:sz w:val="22"/>
        </w:rPr>
        <w:t>资料来源与免责声明</w:t>
      </w:r>
    </w:p>
    <w:p>
      <w:pPr>
        <w:pStyle w:val="ListBullet"/>
        <w:spacing w:after="40"/>
        <w:ind w:left="360"/>
      </w:pPr>
      <w:r>
        <w:rPr>
          <w:rFonts w:ascii="宋体" w:hAnsi="宋体" w:eastAsia="宋体"/>
          <w:color w:val="8E8E93"/>
          <w:sz w:val="21"/>
        </w:rPr>
        <w:t>Energy Fuels公司新闻稿：《2025年业绩及2026年指引》（2026年2月26日）——investors.energyfuels.com</w:t>
      </w:r>
    </w:p>
    <w:p>
      <w:pPr>
        <w:pStyle w:val="ListBullet"/>
        <w:spacing w:after="40"/>
        <w:ind w:left="360"/>
      </w:pPr>
      <w:r>
        <w:rPr>
          <w:rFonts w:ascii="宋体" w:hAnsi="宋体" w:eastAsia="宋体"/>
          <w:color w:val="8E8E93"/>
          <w:sz w:val="21"/>
        </w:rPr>
        <w:t>Energy Fuels公司新闻稿：《年终铀矿产销量超出指引》（2025年12月29日）</w:t>
      </w:r>
    </w:p>
    <w:p>
      <w:pPr>
        <w:pStyle w:val="ListBullet"/>
        <w:spacing w:after="40"/>
        <w:ind w:left="360"/>
      </w:pPr>
      <w:r>
        <w:rPr>
          <w:rFonts w:ascii="宋体" w:hAnsi="宋体" w:eastAsia="宋体"/>
          <w:color w:val="8E8E93"/>
          <w:sz w:val="21"/>
        </w:rPr>
        <w:t>Energy Fuels公司新闻稿：《2025年Q3业绩》（2025年11月3日）</w:t>
      </w:r>
    </w:p>
    <w:p>
      <w:pPr>
        <w:pStyle w:val="ListBullet"/>
        <w:spacing w:after="40"/>
        <w:ind w:left="360"/>
      </w:pPr>
      <w:r>
        <w:rPr>
          <w:rFonts w:ascii="宋体" w:hAnsi="宋体" w:eastAsia="宋体"/>
          <w:color w:val="8E8E93"/>
          <w:sz w:val="21"/>
        </w:rPr>
        <w:t>Energy Fuels公司新闻稿：《2025年Q2业绩》（2025年8月6日）</w:t>
      </w:r>
    </w:p>
    <w:p>
      <w:pPr>
        <w:pStyle w:val="ListBullet"/>
        <w:spacing w:after="40"/>
        <w:ind w:left="360"/>
      </w:pPr>
      <w:r>
        <w:rPr>
          <w:rFonts w:ascii="宋体" w:hAnsi="宋体" w:eastAsia="宋体"/>
          <w:color w:val="8E8E93"/>
          <w:sz w:val="21"/>
        </w:rPr>
        <w:t>Energy Fuels公司新闻稿：《2025年Q1业绩》（2025年5月7日）</w:t>
      </w:r>
    </w:p>
    <w:p>
      <w:pPr>
        <w:pStyle w:val="ListBullet"/>
        <w:spacing w:after="40"/>
        <w:ind w:left="360"/>
      </w:pPr>
      <w:r>
        <w:rPr>
          <w:rFonts w:ascii="宋体" w:hAnsi="宋体" w:eastAsia="宋体"/>
          <w:color w:val="8E8E93"/>
          <w:sz w:val="21"/>
        </w:rPr>
        <w:t>美通社：《Energy Fuels发布2025年业绩及2026年指引》（2026年2月26日）</w:t>
      </w:r>
    </w:p>
    <w:p>
      <w:pPr>
        <w:pStyle w:val="ListBullet"/>
        <w:spacing w:after="40"/>
        <w:ind w:left="360"/>
      </w:pPr>
      <w:r>
        <w:rPr>
          <w:rFonts w:ascii="宋体" w:hAnsi="宋体" w:eastAsia="宋体"/>
          <w:color w:val="8E8E93"/>
          <w:sz w:val="21"/>
        </w:rPr>
        <w:t>H.C. Wainwright研究报告：目标价上调至$27.25（2026年2月27日）</w:t>
      </w:r>
    </w:p>
    <w:p>
      <w:pPr>
        <w:pStyle w:val="ListBullet"/>
        <w:spacing w:after="40"/>
        <w:ind w:left="360"/>
      </w:pPr>
      <w:r>
        <w:rPr>
          <w:rFonts w:ascii="宋体" w:hAnsi="宋体" w:eastAsia="宋体"/>
          <w:color w:val="8E8E93"/>
          <w:sz w:val="21"/>
        </w:rPr>
        <w:t>Yahoo Finance / Zacks：Q4 2025业绩摘要及一致预期数据</w:t>
      </w:r>
    </w:p>
    <w:p>
      <w:pPr>
        <w:pStyle w:val="ListBullet"/>
        <w:spacing w:after="40"/>
        <w:ind w:left="360"/>
      </w:pPr>
      <w:r>
        <w:rPr>
          <w:rFonts w:ascii="宋体" w:hAnsi="宋体" w:eastAsia="宋体"/>
          <w:color w:val="8E8E93"/>
          <w:sz w:val="21"/>
        </w:rPr>
        <w:t>GuruFocus / Investing.com：Q4 2025业绩电话会议要点</w:t>
      </w:r>
    </w:p>
    <w:p>
      <w:pPr>
        <w:pStyle w:val="ListBullet"/>
        <w:spacing w:after="40"/>
        <w:ind w:left="360"/>
      </w:pPr>
      <w:r>
        <w:rPr>
          <w:rFonts w:ascii="宋体" w:hAnsi="宋体" w:eastAsia="宋体"/>
          <w:color w:val="8E8E93"/>
          <w:sz w:val="21"/>
        </w:rPr>
        <w:t>Sprott：《2026年铀矿展望》；《铀矿的双重市场》</w:t>
      </w:r>
    </w:p>
    <w:p>
      <w:pPr>
        <w:pStyle w:val="ListBullet"/>
        <w:spacing w:after="40"/>
        <w:ind w:left="360"/>
      </w:pPr>
      <w:r>
        <w:rPr>
          <w:rFonts w:ascii="宋体" w:hAnsi="宋体" w:eastAsia="宋体"/>
          <w:color w:val="8E8E93"/>
          <w:sz w:val="21"/>
        </w:rPr>
        <w:t>Nasdaq.com：《2026年铀矿价格预测：主要趋势》</w:t>
      </w:r>
    </w:p>
    <w:p>
      <w:pPr>
        <w:pStyle w:val="ListBullet"/>
        <w:spacing w:after="40"/>
        <w:ind w:left="360"/>
      </w:pPr>
      <w:r>
        <w:rPr>
          <w:rFonts w:ascii="宋体" w:hAnsi="宋体" w:eastAsia="宋体"/>
          <w:color w:val="8E8E93"/>
          <w:sz w:val="21"/>
        </w:rPr>
        <w:t>TipRanks：《Energy Fuels业绩电话会议要点：大胆的增长转型》</w:t>
      </w:r>
    </w:p>
    <w:p>
      <w:pPr>
        <w:pStyle w:val="ListBullet"/>
        <w:spacing w:after="40"/>
        <w:ind w:left="360"/>
      </w:pPr>
      <w:r>
        <w:rPr>
          <w:rFonts w:ascii="宋体" w:hAnsi="宋体" w:eastAsia="宋体"/>
          <w:color w:val="8E8E93"/>
          <w:sz w:val="21"/>
        </w:rPr>
        <w:t>StockTitan：UUUU SEC文件（10-Q）——2025年Q3营收1,770万美元</w:t>
      </w:r>
    </w:p>
    <w:p>
      <w:pPr>
        <w:pStyle w:val="ListBullet"/>
        <w:spacing w:after="40"/>
        <w:ind w:left="360"/>
      </w:pPr>
      <w:r>
        <w:rPr>
          <w:rFonts w:ascii="宋体" w:hAnsi="宋体" w:eastAsia="宋体"/>
          <w:color w:val="8E8E93"/>
          <w:sz w:val="21"/>
        </w:rPr>
        <w:t>MarketBeat / WallStreetZen / StockAnalysis：分析师一致预期数据</w:t>
      </w:r>
    </w:p>
    <w:p>
      <w:pPr>
        <w:pStyle w:val="ListBullet"/>
        <w:spacing w:after="40"/>
        <w:ind w:left="360"/>
      </w:pPr>
      <w:r>
        <w:rPr>
          <w:rFonts w:ascii="宋体" w:hAnsi="宋体" w:eastAsia="宋体"/>
          <w:color w:val="8E8E93"/>
          <w:sz w:val="21"/>
        </w:rPr>
        <w:t>ANS核能新闻：2025年铀矿现货价格数据</w:t>
      </w:r>
    </w:p>
    <w:p>
      <w:pPr>
        <w:spacing w:after="80"/>
      </w:pPr>
      <w:r>
        <w:rPr>
          <w:rFonts w:ascii="宋体" w:hAnsi="宋体" w:eastAsia="宋体"/>
          <w:b w:val="0"/>
          <w:i w:val="0"/>
          <w:sz w:val="21"/>
        </w:rPr>
      </w:r>
    </w:p>
    <w:p>
      <w:pPr>
        <w:spacing w:after="80"/>
      </w:pPr>
      <w:r>
        <w:rPr>
          <w:rFonts w:ascii="宋体" w:hAnsi="宋体" w:eastAsia="宋体"/>
          <w:b w:val="0"/>
          <w:i/>
          <w:color w:val="8E8E93"/>
          <w:sz w:val="17"/>
        </w:rPr>
        <w:t>免责声明：本报告仅供参考，不构成投资建议或任何买卖证券的邀约。所有财务数据均来源于公开文件及新闻稿。标注「估」的数据为基于部分信息推算所得，可能与官方最终公布数据存在差异。过往业绩不代表未来表现。</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