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003366"/>
          <w:sz w:val="32"/>
        </w:rPr>
        <w:t>平安银行股份有限公司（000001.SZ）</w:t>
      </w:r>
    </w:p>
    <w:p>
      <w:pPr>
        <w:jc w:val="center"/>
      </w:pPr>
      <w:r>
        <w:rPr>
          <w:rFonts w:ascii="Times New Roman" w:hAnsi="Times New Roman" w:eastAsia="黑体"/>
          <w:b/>
          <w:color w:val="D0222A"/>
          <w:sz w:val="22"/>
        </w:rPr>
        <w:t>2025年四季度 / FY2025 业绩更新 — 净息差企稳信号确立，重回增长在望，维持买入</w:t>
      </w:r>
    </w:p>
    <w:p>
      <w:pPr>
        <w:jc w:val="center"/>
      </w:pPr>
      <w:r>
        <w:rPr>
          <w:rFonts w:ascii="Times New Roman" w:hAnsi="Times New Roman" w:eastAsia="宋体"/>
          <w:color w:val="8B8B8B"/>
          <w:sz w:val="18"/>
        </w:rPr>
        <w:t>股票研究  |  2026年4月5日  |  000001.SZ（深交所A股）</w:t>
      </w:r>
    </w:p>
    <w:p>
      <w:pPr>
        <w:pBdr>
          <w:bottom w:val="single" w:sz="4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评级</w:t>
              <w:br/>
            </w:r>
            <w:r>
              <w:rPr>
                <w:rFonts w:ascii="Times New Roman" w:hAnsi="Times New Roman" w:eastAsia="宋体"/>
                <w:b/>
                <w:color w:val="C8960C"/>
                <w:sz w:val="18"/>
              </w:rPr>
              <w:t>买入 ↑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目标价</w:t>
              <w:br/>
              <w:t>（A股）</w:t>
              <w:br/>
            </w:r>
            <w:r>
              <w:rPr>
                <w:rFonts w:ascii="Times New Roman" w:hAnsi="Times New Roman" w:eastAsia="宋体"/>
                <w:b/>
                <w:color w:val="C8960C"/>
                <w:sz w:val="18"/>
              </w:rPr>
              <w:t>人民币 14.00元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当前股价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11.12元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总市值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约2158亿元（约30亿美元）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52周高/低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13.33元 / 10.43元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总股本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约194亿股</w:t>
            </w:r>
          </w:p>
        </w:tc>
      </w:tr>
    </w:tbl>
    <w:p/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一、业绩摘要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平安银行股份有限公司（下称“平安银行”或“公司”）于2026年3月20日正式发布2025年年度报告。FY2025全年实现归母净利润426.33亿元，同比下降4.2%，与Wind一致预期约422亿元基本符合（超预期约+1.0%）；营业收入1,314.42亿元，同比下降10.4%，略低于一致预期约1,320亿元。核心亮点在于净息差（NIM）企稳拐点明确：2025年四季度净利息收入同比增长+2.76%，为连续多季度下滑后首次转正；全年NIM仅下行9个基点至1.78%，较2024年的-51个基点大幅收窄。管理层在3月23日业绩发布会上宣称“最难的时候已经过去”，并明确2026年目标为“全力以赴重回增长”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核心要点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color w:val="2E7D32"/>
          <w:sz w:val="21"/>
        </w:rPr>
        <w:t>盈利基本符合预期：FY2025归母净利润426.33亿元（一致预期约422亿元，超预期+1.0%）；EPS 2.07元。营业收入1,314.42亿元，略低于预期（逊预期-0.4%）。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净息差拐点确立 — 最关键变量：全年NIM 1.78%（-9bps，FY2024为-51bps），降幅大幅收窄；Q4净利息收入同比+2.76%，为多个季度以来首次转正；负债端成本改善（平均资金成本降47bps至1.67%）是主因。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资产质量持续改善：不良率1.05%（同比-1bp）；不良生成率降至1.63%（-17bps）；个人贷款不良率1.23%（-16bps），零售信用风险正在消退。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资本充足率提升：核心一级资本充足率9.36%（+24bps），一级资本充足率11.49%（+80bps）。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零售转型成效显现：零售条线净利润大幅增长+828%至26.83亿元（2024年仅2.89亿元），占总利润比重从0.6%提升至6.3%；财富管理手续费收入+15.8%至50.61亿元。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分红：FY2025合计每10股派息5.96元（含税），派息率28.83%；按当前股价约10.87元计算，股息率约5.5%，提供较强安全边际。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维持“买入”评级，目标价14.00元（0.56倍FY2026E每股净资产约24.9元），潜在上涨空间约29%；Wind 25家机构一致预期目标价14.25元。</w:t>
      </w:r>
    </w:p>
    <w:p/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业绩快照 — FY2025实际 vs 市场预期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FY2025实际</w:t>
            </w:r>
          </w:p>
        </w:tc>
        <w:tc>
          <w:tcPr>
            <w:tcW w:type="dxa" w:w="188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市场一致预期（发布前）</w:t>
            </w:r>
          </w:p>
        </w:tc>
        <w:tc>
          <w:tcPr>
            <w:tcW w:type="dxa" w:w="188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超/逊预期</w:t>
            </w:r>
          </w:p>
        </w:tc>
        <w:tc>
          <w:tcPr>
            <w:tcW w:type="dxa" w:w="188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营业收入（亿元）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1,314.42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约1,320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-0.4% 略逊 ↓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-10.4%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净利息收入（亿元）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880.21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约885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-0.5% 略逊 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-5.8%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426.33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约422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+1.0% 超预期 ✓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-4.2%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EPS（元）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2.07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约2.04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+1.5%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-4.2%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净息差NIM（%）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1.78%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约1.76%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+2bps 超预期 ✓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-9bps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不良贷款率（%）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1.05%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约1.07%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-2bps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-1bp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拨备覆盖率（%）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220.88%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约225%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-4pp 略逊 ↓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-29.8pp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核心一级资本充足率（%）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9.36%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约9.20%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+16bps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+24bps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成本收入比（%）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29.06%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约29.0%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基本符合</w:t>
            </w:r>
          </w:p>
        </w:tc>
        <w:tc>
          <w:tcPr>
            <w:tcW w:type="dxa" w:w="1881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+1.4pp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ROE（%）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9.15%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约9.2%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基本符合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-0.93pp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7_beat_mi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图1：FY2025实际业绩 vs 预公布前市场一致预期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二、季度与全年业绩详细分析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营业收入 — 承压但出现边际改善信号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FY2025营业收入1,314.42亿元，同比下降10.4%（FY2024：1,466.95亿元），为连续第三年两位数降幅，主要受净息差持续收窄及非息收入下滑拖累。季度维度看，Q4 2025营收约307.74亿元，同比-12.4%，但净利息收入Q4同比+2.76%为核心亮点。四季度营收分别为337.09 / 356.76 / 312.83 / 307.74亿元，下半年总体趋于稳定。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净利息收入880.21亿元（-5.8% YoY）是最大拖累项，但降幅较FY2024明显收窄。非利息净收入434.21亿元（-18.5% YoY）主要受债券投资收益下滑影响。其中，财富管理手续费收入50.61亿元（+15.8%）逆势增长，体现业务结构持续优化。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7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1_quarterl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图2：季度营业收入走势（2024Q1–2025Q4，亿元）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81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10_income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1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图3：营业收入结构 — 利息收入 vs 非利息收入（FY2022–FY2025）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归母净利润 — 四季度集中计提拨备，全年基本符合预期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FY2025归母净利润426.33亿元，同比下降4.2%（FY2024：445.08亿元）。Q4隐含单季净利润约42.94亿元，大幅低于Q3的134.69亿元，反映银行年末集中计提拨备的惯常操作，符合历史规律。全年信用减值损失405.67亿元（-17.9% YoY），拨备计提压力持续下降，未来随不良生成率趋势性下行，拨备节约对利润的贡献有望持续释放。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全年信贷成本降至1.38%（-18bps YoY），是底线利润的重要支撑。拨备前利润（PPOP）同比下降约11.9%，表明营收仍是核心挑战，但净息差企稳后PPOP压力将趋于减轻，FY2026E净利润有望实现约+1.7%的温和正增长。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7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2_quarterly_net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图4：季度归母净利润走势及同比增速（2024Q1–2025Q4）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三、核心银行经营指标分析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净息差（NIM）— 关键拐点已经到来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FY2025全年净息差1.78%，较FY2024的1.87%下行仅9个基点，较FY2024年的-51bps大幅收窄，亦显著优于FY2023年-48bps的压缩幅度。Q4净利息收入同比+2.76%为多季度内首次正增长，标志着息差最困难阶段已经过去。驱动因素：（一）负债成本大幅改善，全年平均资金成本降47bps至1.67%，存款成本降42bps至1.65%；（二）2025年下半年贷款重定价压力趋缓（LPR调降次数减少）；（三）存款期限结构改善，定期存款占比下降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管理层明确表示净息差“基本趋于稳定”，2026年目标净息差约1.77%（Wind一致预期）。负债端成本改善仍有一定空间，有助于对冲资产端利率下行压力。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7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3_nim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图5：净息差（NIM）走势（FY2022–FY2025实际；FY2026E一致预期）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资产质量 — 零售信用风险持续出清，对公房地产为主要关注点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FY2025整体资产质量持续改善。不良贷款率1.05%（-1bp），个人贷款不良率显著改善至1.23%（-16bps），印证零售信用风险正在消退。不良生成率降至1.63%（-17bps）；逾期90天以上贷款偏离度仅0.56倍，说明认定标准严格，未来新增不良压力可控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主要关注点：对公不良率上升17bps至0.87%，其中房地产贷款不良率升至2.22%（+43bps）。但公司已持续压缩房地产贷款敞口，2025年房地产贷款占对公贷款比重已明显下降。拨备覆盖率220.88%（-29.8pp），仍远超监管最低要求，覆盖能力充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4_asset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图6：不良贷款率 &amp; 拨备覆盖率（H1 2024–FY2025）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资本充足率 — 有机积累，无需外部融资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FY2025末核心一级资本充足率9.36%（+24bps），一级资本充足率11.49%（+80bps），资本充足率13.77%（+66bps），资本实力稳步提升。管理层明确表示不计划进行配股或外部融资，依靠内生资本积累即可支持2026年业务适度扩张及分红安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62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5_capital_rat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图7：资本充足率（FY2024 vs FY2025）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FY2023A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H1 2025A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营业收入（亿元）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1,647.0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1,467.0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693.9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1,314.4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约1,352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464.6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445.1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248.7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426.3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约433.6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净息差NIM（%）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2.38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1.87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1.80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1.78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约1.77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不良贷款率（%）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1.06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1.06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1.10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1.05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约1.03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拨备覆盖率（%）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277.6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250.71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246.6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220.88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约215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核心一级资本充足率（%）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8.84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9.12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9.20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9.36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约9.5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ROE（%）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11.4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10.08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9.52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9.15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约8.9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成本收入比（%）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26.3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约27.7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28.3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29.06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约27.7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EPS（元）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2.25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1.21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2.07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约2.19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每股净资产BVPS（元）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约21.1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约22.4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约23.1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约24.0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约24.9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四、零售银行转型进展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零售业务转型是平安银行核心长期投资逻辑。FY2025年，零售条线净利润大幅增长+828%至26.83亿元（FY2024：2.89亿元），占全行净利润比重从0.6%提升至6.3%，标志着零售信贷风险成本周期性高点已经过去。管理层表示零售转型“完成约70%，剩余约30%”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财富管理 — 亮点业务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零售AUM（管理资产总额）：4.24万亿元（+1.1% YoY），受权益市场波动影响增速温和，但客户关系稳固。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私行客户：10.56万人（+9.1% YoY）；私行AUM：1.9913万亿元（+0.8% YoY）。私行是零售最高盈利段，是中长期核心增长驱动。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财富管理手续费收入：50.61亿元（+15.8% YoY），其中保险佣金+53.3%，公募基金+8.9%，理财产品+8.8%，收入质量持续提升。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口袋银行APP月活用户约4,000万，是手续费收入增长的核心数字分发渠道。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保险+银行协同效应：与平安集团保险板块深度联动，银保佣金收入+53.3%，集团综合金融生态形成显著差异化竞争优势。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6_retail_w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图8：零售AUM、财富客户及私行客户增长趋势（FY2023–FY2025）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五、投资逻辑更新 — 维持“买入”评级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维持“买入”评级，目标价14.00元（0.56倍FY2026E每股净资产约24.9元，Wind一致预期），较当前股价约10.87元具备约29%上涨空间。核心逻辑：（一）净息差企稳为最重要近期催化剂；（二）信贷成本下降释放利润增长空间；（三）零售转型带动手续费收入持续增长；（四）约5.5%股息率提供下行保护，估值处历史低位（约0.44倍市净率）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多头逻辑（牛市情形）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息差拐点：Q4净利息收入同比+2.76%，若Q1 2026延续正增长，营收将于2026年转正，为股价重估最重要的单一催化剂。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信贷成本正常化：不良生成率降至1.63%且趋势下行，预计FY2026E拨备节约释放约25亿元以上利润，即使PPOP基本持平，归母净利润仍可实现正增长。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零售转型利润贡献扩大：FY2025零售利润占比从0.6%跃升至6.3%，目标FY2027E达25%至30%，为长期盈利中枢上移的核心驱动力。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历史低位估值：当前市净率约0.44倍，较历史5年均值约0.85倍折价约48%。若估值修复至0.60倍，对应股价约14.9元，较当前上涨约37%。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平安集团背书：中国最大保险集团强大股东背景提供资本支持、保险渠道协同及系统性重要性保护，是差异化护城河。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主要风险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营收压力持续：若2026年LPR再降息或存款重定价慢于预期，NIM可能再度承压，拖延营收复苏进程。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对公房地产信用风险：房地产不良率已升至2.22%，若行业信用事件扩大，或需新增计提拨备，对冲信贷成本改善红利。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宏观经济下行：消费低迷与中小企业经营压力可能重新加快零售不良生成，尤其是消费贷和信用卡应收账款。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资本充足率缓冲有限：核心一级资本充足率9.36%虽满足监管要求，但在贷款快速扩张或意外损失情形下，提升分红比例的空间将受到制约。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国有大行竞争加剧：工农中建交等国有大行在财富管理和对公贷款市场主动进攻，平安银行在这些领域的竞争护城河面临收窄压力。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六、估值分析与盈利预测更新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D0222A"/>
          <w:sz w:val="21"/>
        </w:rPr>
        <w:t>目标价：14.00元（0.56倍FY2026E市净率）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12个月目标价14.00元，基于0.56倍FY2026E每股净资产约24.9元（Wind一致预期）。估值依据：参考DDM/GGM模型，以ROE约8.9%除以权益成本约10.0%，内在合理P/B约0.9倍，考虑零售转型执行风险及宏观不确定性，给予40%折扣，得出目标P/B约0.56倍，与Wind 25家机构平均目标价14.25元高度一致。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牛市情形（0.70倍P/B）：目标价约17.4元，对应业绩全面复苏及净息差明显回升。熊市情形（0.40倍P/B）：目标价约10.0元，对应营收持续萎缩及新一轮资产质量恶化。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FY2023A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5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营业收入（亿元）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1,647.0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1,467.0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1,314.4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约1,352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约1,390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营收增速（%）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-8.5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-10.9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-10.4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约+2.9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约+2.8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464.6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445.1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426.3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约433.6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约444.0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净利润增速（%）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-4.2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-4.2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约+1.7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约+2.4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EPS（元）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2.25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2.07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约2.19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约2.26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每股净资产BVPS（元）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约21.1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约22.4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约24.0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约24.9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约26.0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当前股价对应P/B（倍）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0.52×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0.49×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0.45×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0.44×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0.42×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目标价14元对应P/B（倍）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0.66×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0.63×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0.58×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0.56×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0.54×</w:t>
            </w:r>
          </w:p>
        </w:tc>
      </w:tr>
      <w:tr>
        <w:tc>
          <w:tcPr>
            <w:tcW w:type="dxa" w:w="1568"/>
            <w:shd w:val="clear" w:color="auto" w:fill="F0F4F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当前股价对应P/E（倍）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4.83×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5.03×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5.25×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4.96×</w:t>
            </w:r>
          </w:p>
        </w:tc>
        <w:tc>
          <w:tcPr>
            <w:tcW w:type="dxa" w:w="156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4.81×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股息率（按当前股价）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约5.2%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约5.1%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约5.5%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约5.5%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约5.7%</w:t>
            </w:r>
          </w:p>
        </w:tc>
      </w:tr>
    </w:tbl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注：FY2026E/2027E为Wind一致预期；BVPS基于留存收益预测；股息率基于约10.87元当前价格。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8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8_annu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图9：年度营收与归母净利润走势（FY2022–FY2027E）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8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b_chart9_broker_targ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图10：主要券商FY2026E目标价 &amp; EPS预测汇总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003366"/>
        </w:pBdr>
      </w:pPr>
      <w:r>
        <w:rPr>
          <w:rFonts w:ascii="Times New Roman" w:hAnsi="Times New Roman" w:eastAsia="黑体"/>
          <w:b/>
          <w:color w:val="003366"/>
          <w:sz w:val="25"/>
        </w:rPr>
        <w:t>七、数据来源与参考资料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所有数据截至2026年4月5日；FY2025年报于2026年3月20日正式发布。</w:t>
      </w:r>
    </w:p>
    <w:p>
      <w:pPr>
        <w:pStyle w:val="ListBullet"/>
        <w:spacing w:before="20" w:after="40"/>
      </w:pPr>
      <w:hyperlink r:id="rId19">
        <w:r>
          <w:rPr>
            <w:rStyle w:val="Hyperlink"/>
            <w:color w:val="003366"/>
            <w:u w:val="single"/>
          </w:rPr>
          <w:t>平安银行2025年年报发布：全年营收1314.42亿元（新浪财经，2026-03-20）</w:t>
        </w:r>
      </w:hyperlink>
    </w:p>
    <w:p>
      <w:pPr>
        <w:pStyle w:val="ListBullet"/>
        <w:spacing w:before="20" w:after="40"/>
      </w:pPr>
      <w:hyperlink r:id="rId20">
        <w:r>
          <w:rPr>
            <w:rStyle w:val="Hyperlink"/>
            <w:color w:val="003366"/>
            <w:u w:val="single"/>
          </w:rPr>
          <w:t>平安银行归母净利润426.33亿元，拟每10股派息5.96元（新浪财经，2026-03-20）</w:t>
        </w:r>
      </w:hyperlink>
    </w:p>
    <w:p>
      <w:pPr>
        <w:pStyle w:val="ListBullet"/>
        <w:spacing w:before="20" w:after="40"/>
      </w:pPr>
      <w:hyperlink r:id="rId21">
        <w:r>
          <w:rPr>
            <w:rStyle w:val="Hyperlink"/>
            <w:color w:val="003366"/>
            <w:u w:val="single"/>
          </w:rPr>
          <w:t>平安银行2025年年报业绩点评：单季利息净收入正增（银河证券，2026-03-24）</w:t>
        </w:r>
      </w:hyperlink>
    </w:p>
    <w:p>
      <w:pPr>
        <w:pStyle w:val="ListBullet"/>
        <w:spacing w:before="20" w:after="40"/>
      </w:pPr>
      <w:hyperlink r:id="rId22">
        <w:r>
          <w:rPr>
            <w:rStyle w:val="Hyperlink"/>
            <w:color w:val="003366"/>
            <w:u w:val="single"/>
          </w:rPr>
          <w:t>平安银行2025年年报解读（新浪财经，2026-03-31）</w:t>
        </w:r>
      </w:hyperlink>
    </w:p>
    <w:p>
      <w:pPr>
        <w:pStyle w:val="ListBullet"/>
        <w:spacing w:before="20" w:after="40"/>
      </w:pPr>
      <w:hyperlink r:id="rId23">
        <w:r>
          <w:rPr>
            <w:rStyle w:val="Hyperlink"/>
            <w:color w:val="003366"/>
            <w:u w:val="single"/>
          </w:rPr>
          <w:t>平安银行业绩会：2026年将全力以赴重回增长（新浪财经，2026-03-23）</w:t>
        </w:r>
      </w:hyperlink>
    </w:p>
    <w:p>
      <w:pPr>
        <w:pStyle w:val="ListBullet"/>
        <w:spacing w:before="20" w:after="40"/>
      </w:pPr>
      <w:hyperlink r:id="rId24">
        <w:r>
          <w:rPr>
            <w:rStyle w:val="Hyperlink"/>
            <w:color w:val="003366"/>
            <w:u w:val="single"/>
          </w:rPr>
          <w:t>读懂平安银行2025年报：最难的时候过去了（新浪财经，2026-03-25）</w:t>
        </w:r>
      </w:hyperlink>
    </w:p>
    <w:p>
      <w:pPr>
        <w:pStyle w:val="ListBullet"/>
        <w:spacing w:before="20" w:after="40"/>
      </w:pPr>
      <w:hyperlink r:id="rId25">
        <w:r>
          <w:rPr>
            <w:rStyle w:val="Hyperlink"/>
            <w:color w:val="003366"/>
            <w:u w:val="single"/>
          </w:rPr>
          <w:t>平安银行2025：走出深水区的第一步（新浪财经，2026-03-25）</w:t>
        </w:r>
      </w:hyperlink>
    </w:p>
    <w:p>
      <w:pPr>
        <w:pStyle w:val="ListBullet"/>
        <w:spacing w:before="20" w:after="40"/>
      </w:pPr>
      <w:hyperlink r:id="rId26">
        <w:r>
          <w:rPr>
            <w:rStyle w:val="Hyperlink"/>
            <w:color w:val="003366"/>
            <w:u w:val="single"/>
          </w:rPr>
          <w:t>21世纪经济报道：年报出炉，分红百亿，净息差降9bps（2026-03-20）</w:t>
        </w:r>
      </w:hyperlink>
    </w:p>
    <w:p>
      <w:pPr>
        <w:pStyle w:val="ListBullet"/>
        <w:spacing w:before="20" w:after="40"/>
      </w:pPr>
      <w:hyperlink r:id="rId27">
        <w:r>
          <w:rPr>
            <w:rStyle w:val="Hyperlink"/>
            <w:color w:val="003366"/>
            <w:u w:val="single"/>
          </w:rPr>
          <w:t>Wind / 同花顺F10：FY2026E一致预期（000001.SZ）</w:t>
        </w:r>
      </w:hyperlink>
    </w:p>
    <w:p>
      <w:pPr>
        <w:pStyle w:val="ListBullet"/>
        <w:spacing w:before="20" w:after="40"/>
      </w:pPr>
      <w:hyperlink r:id="rId28">
        <w:r>
          <w:rPr>
            <w:rStyle w:val="Hyperlink"/>
            <w:color w:val="003366"/>
            <w:u w:val="single"/>
          </w:rPr>
          <w:t>战略转型进度条剩余30%！平安银行2026重回增长方法论（证券时报）</w:t>
        </w:r>
      </w:hyperlink>
    </w:p>
    <w:p>
      <w:pPr>
        <w:pStyle w:val="ListBullet"/>
        <w:spacing w:before="20" w:after="40"/>
      </w:pPr>
      <w:hyperlink r:id="rId29">
        <w:r>
          <w:rPr>
            <w:rStyle w:val="Hyperlink"/>
            <w:color w:val="003366"/>
            <w:u w:val="single"/>
          </w:rPr>
          <w:t>平安银行接受境内外投资者调研（新浪财经，2026-03-25）</w:t>
        </w:r>
      </w:hyperlink>
    </w:p>
    <w:p>
      <w:pPr>
        <w:pStyle w:val="ListBullet"/>
        <w:spacing w:before="20" w:after="40"/>
      </w:pPr>
      <w:hyperlink r:id="rId30">
        <w:r>
          <w:rPr>
            <w:rStyle w:val="Hyperlink"/>
            <w:color w:val="003366"/>
            <w:u w:val="single"/>
          </w:rPr>
          <w:t>平安银行H1 2025净利微降3.9%，净息差收窄至1.80%（华尔街见闻，2025年8月）</w:t>
        </w:r>
      </w:hyperlink>
    </w:p>
    <w:p/>
    <w:p>
      <w:pPr>
        <w:jc w:val="both"/>
      </w:pPr>
      <w:r>
        <w:rPr>
          <w:rFonts w:ascii="Times New Roman" w:hAnsi="Times New Roman" w:eastAsia="宋体"/>
          <w:i/>
          <w:color w:val="8B8B8B"/>
          <w:sz w:val="17"/>
        </w:rPr>
        <w:t>免责声明：本报告仅供参考，不构成任何投资建议。所有财务数据来源于公司公告及公开信息，市场数据通过yfinance实时获取。FY2026E/2027E为分析师一致预期，不代表实际结果。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finance.sina.com.cn/jryx/bank/2026-03-20/doc-inhrrzut6659056.shtml" TargetMode="External"/><Relationship Id="rId20" Type="http://schemas.openxmlformats.org/officeDocument/2006/relationships/hyperlink" Target="https://finance.sina.com.cn/roll/2026-03-20/doc-inhrshar6590029.shtml" TargetMode="External"/><Relationship Id="rId21" Type="http://schemas.openxmlformats.org/officeDocument/2006/relationships/hyperlink" Target="https://stock.stockstar.com/JC2026032400000016.shtml" TargetMode="External"/><Relationship Id="rId22" Type="http://schemas.openxmlformats.org/officeDocument/2006/relationships/hyperlink" Target="https://finance.sina.com.cn/wm/2026-03-31/doc-inhsxkrq2161128.shtml" TargetMode="External"/><Relationship Id="rId23" Type="http://schemas.openxmlformats.org/officeDocument/2006/relationships/hyperlink" Target="https://finance.sina.com.cn/roll/2026-03-23/doc-inhryxfp3966939.shtml" TargetMode="External"/><Relationship Id="rId24" Type="http://schemas.openxmlformats.org/officeDocument/2006/relationships/hyperlink" Target="https://finance.sina.com.cn/stock/bxjj/2026-03-25/doc-inhsecsi9934000.shtml" TargetMode="External"/><Relationship Id="rId25" Type="http://schemas.openxmlformats.org/officeDocument/2006/relationships/hyperlink" Target="https://finance.sina.com.cn/wm/2026-03-25/doc-inhsfmms3417265.shtml" TargetMode="External"/><Relationship Id="rId26" Type="http://schemas.openxmlformats.org/officeDocument/2006/relationships/hyperlink" Target="https://www.21jingji.com/article/20260320/herald/5ee8bf7a9198ff98e638898d5820cc17.html" TargetMode="External"/><Relationship Id="rId27" Type="http://schemas.openxmlformats.org/officeDocument/2006/relationships/hyperlink" Target="https://basic.10jqka.com.cn/000001/worth.html" TargetMode="External"/><Relationship Id="rId28" Type="http://schemas.openxmlformats.org/officeDocument/2006/relationships/hyperlink" Target="https://www.stcn.com/article/detail/3693988.html" TargetMode="External"/><Relationship Id="rId29" Type="http://schemas.openxmlformats.org/officeDocument/2006/relationships/hyperlink" Target="https://finance.sina.com.cn/stock/aigc/jgdy/2026-03-25/doc-inhseyvw3553593.shtml" TargetMode="External"/><Relationship Id="rId30" Type="http://schemas.openxmlformats.org/officeDocument/2006/relationships/hyperlink" Target="https://wallstreetcn.com/articles/3753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