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3366"/>
          <w:sz w:val="32"/>
        </w:rPr>
        <w:t>Ping An Bank (000001.SZ)</w:t>
      </w:r>
    </w:p>
    <w:p>
      <w:pPr>
        <w:jc w:val="center"/>
      </w:pPr>
      <w:r>
        <w:rPr>
          <w:rFonts w:ascii="Times New Roman" w:hAnsi="Times New Roman"/>
          <w:b/>
          <w:color w:val="D0222A"/>
          <w:sz w:val="22"/>
        </w:rPr>
        <w:t>Q4 2025 / FY2025 Earnings Update — NIM Stabilization Signals Recovery; Maintain BUY</w:t>
      </w:r>
    </w:p>
    <w:p>
      <w:pPr>
        <w:jc w:val="center"/>
      </w:pPr>
      <w:r>
        <w:rPr>
          <w:rFonts w:ascii="Times New Roman" w:hAnsi="Times New Roman"/>
          <w:color w:val="8B8B8B"/>
          <w:sz w:val="18"/>
        </w:rPr>
        <w:t>Equity Research  |  April 5, 2026  |  000001.SZ (A-share, Shenzhen)</w:t>
      </w:r>
    </w:p>
    <w:p>
      <w:pPr>
        <w:pBdr>
          <w:bottom w:val="single" w:sz="4" w:space="1" w:color="CCCCCC"/>
        </w:pBdr>
      </w:pP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003366"/>
            <w:vAlign w:val="center"/>
          </w:tcPr>
          <w:p>
            <w:pPr>
              <w:jc w:val="center"/>
            </w:pPr>
            <w:r>
              <w:rPr>
                <w:b/>
                <w:color w:val="FFFFFF"/>
                <w:sz w:val="16"/>
              </w:rPr>
              <w:t>Rating</w:t>
              <w:br/>
            </w:r>
            <w:r>
              <w:rPr>
                <w:b/>
                <w:color w:val="C8960C"/>
                <w:sz w:val="19"/>
              </w:rPr>
              <w:t>BUY ↑</w:t>
            </w:r>
          </w:p>
        </w:tc>
        <w:tc>
          <w:tcPr>
            <w:tcW w:type="dxa" w:w="1568"/>
            <w:shd w:val="clear" w:color="auto" w:fill="003366"/>
            <w:vAlign w:val="center"/>
          </w:tcPr>
          <w:p>
            <w:pPr>
              <w:jc w:val="center"/>
            </w:pPr>
            <w:r>
              <w:rPr>
                <w:b/>
                <w:color w:val="FFFFFF"/>
                <w:sz w:val="16"/>
              </w:rPr>
              <w:t>Price Target</w:t>
              <w:br/>
              <w:t>(A-share)</w:t>
              <w:br/>
            </w:r>
            <w:r>
              <w:rPr>
                <w:b/>
                <w:color w:val="C8960C"/>
                <w:sz w:val="19"/>
              </w:rPr>
              <w:t>RMB 14.00</w:t>
            </w:r>
          </w:p>
        </w:tc>
        <w:tc>
          <w:tcPr>
            <w:tcW w:type="dxa" w:w="1568"/>
            <w:shd w:val="clear" w:color="auto" w:fill="003366"/>
            <w:vAlign w:val="center"/>
          </w:tcPr>
          <w:p>
            <w:pPr>
              <w:jc w:val="center"/>
            </w:pPr>
            <w:r>
              <w:rPr>
                <w:b/>
                <w:color w:val="FFFFFF"/>
                <w:sz w:val="16"/>
              </w:rPr>
              <w:t>Current Price</w:t>
              <w:br/>
            </w:r>
            <w:r>
              <w:rPr>
                <w:b w:val="0"/>
                <w:color w:val="FFFFFF"/>
                <w:sz w:val="19"/>
              </w:rPr>
              <w:t>RMB 11.12</w:t>
            </w:r>
          </w:p>
        </w:tc>
        <w:tc>
          <w:tcPr>
            <w:tcW w:type="dxa" w:w="1568"/>
            <w:shd w:val="clear" w:color="auto" w:fill="003366"/>
            <w:vAlign w:val="center"/>
          </w:tcPr>
          <w:p>
            <w:pPr>
              <w:jc w:val="center"/>
            </w:pPr>
            <w:r>
              <w:rPr>
                <w:b/>
                <w:color w:val="FFFFFF"/>
                <w:sz w:val="16"/>
              </w:rPr>
              <w:t>Market Cap</w:t>
              <w:br/>
            </w:r>
            <w:r>
              <w:rPr>
                <w:b w:val="0"/>
                <w:color w:val="FFFFFF"/>
                <w:sz w:val="19"/>
              </w:rPr>
              <w:t>~RMB 216B (~USD 30B)</w:t>
            </w:r>
          </w:p>
        </w:tc>
        <w:tc>
          <w:tcPr>
            <w:tcW w:type="dxa" w:w="1568"/>
            <w:shd w:val="clear" w:color="auto" w:fill="003366"/>
            <w:vAlign w:val="center"/>
          </w:tcPr>
          <w:p>
            <w:pPr>
              <w:jc w:val="center"/>
            </w:pPr>
            <w:r>
              <w:rPr>
                <w:b/>
                <w:color w:val="FFFFFF"/>
                <w:sz w:val="16"/>
              </w:rPr>
              <w:t>52W High/Low</w:t>
              <w:br/>
            </w:r>
            <w:r>
              <w:rPr>
                <w:b w:val="0"/>
                <w:color w:val="FFFFFF"/>
                <w:sz w:val="19"/>
              </w:rPr>
              <w:t>RMB 13.33 / RMB 10.43</w:t>
            </w:r>
          </w:p>
        </w:tc>
        <w:tc>
          <w:tcPr>
            <w:tcW w:type="dxa" w:w="1568"/>
            <w:shd w:val="clear" w:color="auto" w:fill="003366"/>
            <w:vAlign w:val="center"/>
          </w:tcPr>
          <w:p>
            <w:pPr>
              <w:jc w:val="center"/>
            </w:pPr>
            <w:r>
              <w:rPr>
                <w:b/>
                <w:color w:val="FFFFFF"/>
                <w:sz w:val="16"/>
              </w:rPr>
              <w:t>Shares Out.</w:t>
              <w:br/>
            </w:r>
            <w:r>
              <w:rPr>
                <w:b w:val="0"/>
                <w:color w:val="FFFFFF"/>
                <w:sz w:val="19"/>
              </w:rPr>
              <w:t>~19.4B shares</w:t>
            </w:r>
          </w:p>
        </w:tc>
      </w:tr>
    </w:tbl>
    <w:p/>
    <w:p>
      <w:pPr>
        <w:keepNext/>
        <w:spacing w:before="280" w:after="80"/>
        <w:pBdr>
          <w:bottom w:val="single" w:sz="6" w:space="1" w:color="003366"/>
        </w:pBdr>
      </w:pPr>
      <w:r>
        <w:rPr>
          <w:b/>
          <w:color w:val="003366"/>
          <w:sz w:val="24"/>
        </w:rPr>
        <w:t>I. EXECUTIVE SUMMARY</w:t>
      </w:r>
    </w:p>
    <w:p>
      <w:pPr>
        <w:spacing w:before="40" w:after="60"/>
      </w:pPr>
      <w:r>
        <w:rPr>
          <w:rFonts w:ascii="Times New Roman" w:hAnsi="Times New Roman"/>
          <w:b w:val="0"/>
          <w:sz w:val="20"/>
        </w:rPr>
        <w:t>Ping An Bank (000001.SZ) reported FY2025 full-year results on March 20, 2026, delivering net profit attributable to shareholders of RMB 42.63B (-4.2% YoY), in line with consensus expectations of ~RMB 42.2B. Operating revenue of RMB 131.44B declined -10.4% YoY, consistent with the bank's ongoing structural revenue pressure. The headline story, however, is inflection: Q4 2025 net interest income grew +2.76% YoY — the first positive YoY NII growth in multiple quarters — and the full-year NIM declined only 9bps to 1.78% vs. FY2024's -51bps compression. Asset quality improved, with the NPL formation rate declining to 1.63% (-17bps YoY). Management declared the 'most difficult period has passed' at the March 23 analyst conference.</w:t>
      </w:r>
    </w:p>
    <w:p>
      <w:pPr>
        <w:spacing w:before="160" w:after="60"/>
      </w:pPr>
      <w:r>
        <w:rPr>
          <w:b/>
          <w:color w:val="D0222A"/>
          <w:sz w:val="21"/>
        </w:rPr>
        <w:t>Key Takeaways</w:t>
      </w:r>
    </w:p>
    <w:p>
      <w:pPr>
        <w:pStyle w:val="ListBullet"/>
        <w:spacing w:before="20" w:after="40"/>
      </w:pPr>
      <w:r>
        <w:rPr>
          <w:b/>
          <w:color w:val="2E7D32"/>
          <w:sz w:val="20"/>
        </w:rPr>
        <w:t>Revenue in-line; net profit slight beat: FY2025 NP of RMB 42.63B vs. consensus ~RMB 42.2B (+1.0% beat). Revenue of RMB 131.44B was slightly below consensus ~RMB 132.0B (-0.4%).</w:t>
      </w:r>
    </w:p>
    <w:p>
      <w:pPr>
        <w:pStyle w:val="ListBullet"/>
        <w:spacing w:before="20" w:after="40"/>
      </w:pPr>
      <w:r>
        <w:rPr>
          <w:b w:val="0"/>
          <w:sz w:val="20"/>
        </w:rPr>
        <w:t>NIM stabilization — the critical inflection: Full-year NIM of 1.78% (-9bps YoY vs. FY2024's -51bps) reflects sharp deceleration in spread compression. Q4 NII turned positive YoY (+2.76%) for the first time in several quarters, driven by a 47bps decline in average funding costs to 1.67%.</w:t>
      </w:r>
    </w:p>
    <w:p>
      <w:pPr>
        <w:pStyle w:val="ListBullet"/>
        <w:spacing w:before="20" w:after="40"/>
      </w:pPr>
      <w:r>
        <w:rPr>
          <w:b w:val="0"/>
          <w:sz w:val="20"/>
        </w:rPr>
        <w:t>Asset quality improving: NPL ratio stable at 1.05% (-1bp YoY); NPL formation rate fell 17bps to 1.63%; personal loan NPL improved -16bps to 1.23%. Provision coverage declined 30pp to 220.88%, as elevated provisions normalize.</w:t>
      </w:r>
    </w:p>
    <w:p>
      <w:pPr>
        <w:pStyle w:val="ListBullet"/>
        <w:spacing w:before="20" w:after="40"/>
      </w:pPr>
      <w:r>
        <w:rPr>
          <w:b w:val="0"/>
          <w:sz w:val="20"/>
        </w:rPr>
        <w:t>Capital strengthening: CET1 rose 24bps to 9.36% YoY; Tier 1 up 80bps to 11.49% — driven by Q4 retained earnings and reduced risk-weighted asset growth.</w:t>
      </w:r>
    </w:p>
    <w:p>
      <w:pPr>
        <w:pStyle w:val="ListBullet"/>
        <w:spacing w:before="20" w:after="40"/>
      </w:pPr>
      <w:r>
        <w:rPr>
          <w:b w:val="0"/>
          <w:sz w:val="20"/>
        </w:rPr>
        <w:t>Retail transformation on track: Retail banking net profit surged +828% YoY to RMB 2.68B (FY2024: RMB 289M). Private banking clients grew +9.1% to 105,600; wealth management fee income +15.8% to RMB 5.06B.</w:t>
      </w:r>
    </w:p>
    <w:p>
      <w:pPr>
        <w:pStyle w:val="ListBullet"/>
        <w:spacing w:before="20" w:after="40"/>
      </w:pPr>
      <w:r>
        <w:rPr>
          <w:b w:val="0"/>
          <w:sz w:val="20"/>
        </w:rPr>
        <w:t>Dividend: Total FY2025 dividend of RMB 0.596/share (含税), payout ratio 28.83%; dividend yield ~5.5% at current price. Management targets 20–30% payout ratio, with aspiration to increase in 2026.</w:t>
      </w:r>
    </w:p>
    <w:p>
      <w:pPr>
        <w:pStyle w:val="ListBullet"/>
        <w:spacing w:before="20" w:after="40"/>
      </w:pPr>
      <w:r>
        <w:rPr>
          <w:b w:val="0"/>
          <w:sz w:val="20"/>
        </w:rPr>
        <w:t>Maintain BUY with PT RMB 14.00, implying 0.56x FY2026E BPS of ~RMB 24.9 and ~29% upside. Management's '2026 return to growth' target is credible given NIM stabilization and declining credit costs.</w:t>
      </w:r>
    </w:p>
    <w:p/>
    <w:p>
      <w:pPr>
        <w:spacing w:before="160" w:after="60"/>
      </w:pPr>
      <w:r>
        <w:rPr>
          <w:b/>
          <w:color w:val="D0222A"/>
          <w:sz w:val="21"/>
        </w:rPr>
        <w:t>Results Snapshot — FY2025 vs. Consensus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003366"/>
            <w:vAlign w:val="center"/>
          </w:tcPr>
          <w:p>
            <w:pPr>
              <w:jc w:val="center"/>
            </w:pPr>
            <w:r>
              <w:rPr>
                <w:b/>
                <w:color w:val="FFFFFF"/>
                <w:sz w:val="18"/>
              </w:rPr>
              <w:t>Metric</w:t>
            </w:r>
          </w:p>
        </w:tc>
        <w:tc>
          <w:tcPr>
            <w:tcW w:type="dxa" w:w="1881"/>
            <w:shd w:val="clear" w:color="auto" w:fill="003366"/>
            <w:vAlign w:val="center"/>
          </w:tcPr>
          <w:p>
            <w:pPr>
              <w:jc w:val="center"/>
            </w:pPr>
            <w:r>
              <w:rPr>
                <w:b/>
                <w:color w:val="FFFFFF"/>
                <w:sz w:val="18"/>
              </w:rPr>
              <w:t>FY2025 Actual</w:t>
            </w:r>
          </w:p>
        </w:tc>
        <w:tc>
          <w:tcPr>
            <w:tcW w:type="dxa" w:w="1881"/>
            <w:shd w:val="clear" w:color="auto" w:fill="003366"/>
            <w:vAlign w:val="center"/>
          </w:tcPr>
          <w:p>
            <w:pPr>
              <w:jc w:val="center"/>
            </w:pPr>
            <w:r>
              <w:rPr>
                <w:b/>
                <w:color w:val="FFFFFF"/>
                <w:sz w:val="18"/>
              </w:rPr>
              <w:t>Consensus (Pre-Results)</w:t>
            </w:r>
          </w:p>
        </w:tc>
        <w:tc>
          <w:tcPr>
            <w:tcW w:type="dxa" w:w="1881"/>
            <w:shd w:val="clear" w:color="auto" w:fill="003366"/>
            <w:vAlign w:val="center"/>
          </w:tcPr>
          <w:p>
            <w:pPr>
              <w:jc w:val="center"/>
            </w:pPr>
            <w:r>
              <w:rPr>
                <w:b/>
                <w:color w:val="FFFFFF"/>
                <w:sz w:val="18"/>
              </w:rPr>
              <w:t>Beat/Miss</w:t>
            </w:r>
          </w:p>
        </w:tc>
        <w:tc>
          <w:tcPr>
            <w:tcW w:type="dxa" w:w="1881"/>
            <w:shd w:val="clear" w:color="auto" w:fill="003366"/>
            <w:vAlign w:val="center"/>
          </w:tcPr>
          <w:p>
            <w:pPr>
              <w:jc w:val="center"/>
            </w:pPr>
            <w:r>
              <w:rPr>
                <w:b/>
                <w:color w:val="FFFFFF"/>
                <w:sz w:val="18"/>
              </w:rPr>
              <w:t>YoY Change</w:t>
            </w:r>
          </w:p>
        </w:tc>
      </w:tr>
      <w:tr>
        <w:tc>
          <w:tcPr>
            <w:tcW w:type="dxa" w:w="1881"/>
            <w:shd w:val="clear" w:color="auto" w:fill="F0F4F8"/>
          </w:tcPr>
          <w:p>
            <w:pPr>
              <w:jc w:val="left"/>
            </w:pPr>
            <w:r>
              <w:rPr>
                <w:sz w:val="18"/>
              </w:rPr>
              <w:t>Operating Revenue (RMB B)</w:t>
            </w:r>
          </w:p>
        </w:tc>
        <w:tc>
          <w:tcPr>
            <w:tcW w:type="dxa" w:w="1881"/>
            <w:shd w:val="clear" w:color="auto" w:fill="F0F4F8"/>
          </w:tcPr>
          <w:p>
            <w:pPr>
              <w:jc w:val="center"/>
            </w:pPr>
            <w:r>
              <w:rPr>
                <w:sz w:val="18"/>
              </w:rPr>
              <w:t>131.44</w:t>
            </w:r>
          </w:p>
        </w:tc>
        <w:tc>
          <w:tcPr>
            <w:tcW w:type="dxa" w:w="1881"/>
            <w:shd w:val="clear" w:color="auto" w:fill="F0F4F8"/>
          </w:tcPr>
          <w:p>
            <w:pPr>
              <w:jc w:val="center"/>
            </w:pPr>
            <w:r>
              <w:rPr>
                <w:sz w:val="18"/>
              </w:rPr>
              <w:t>~132.0</w:t>
            </w:r>
          </w:p>
        </w:tc>
        <w:tc>
          <w:tcPr>
            <w:tcW w:type="dxa" w:w="1881"/>
            <w:shd w:val="clear" w:color="auto" w:fill="F0F4F8"/>
          </w:tcPr>
          <w:p>
            <w:pPr>
              <w:jc w:val="center"/>
            </w:pPr>
            <w:r>
              <w:rPr>
                <w:sz w:val="18"/>
              </w:rPr>
              <w:t>-0.4% miss ↓</w:t>
            </w:r>
          </w:p>
        </w:tc>
        <w:tc>
          <w:tcPr>
            <w:tcW w:type="dxa" w:w="1881"/>
            <w:shd w:val="clear" w:color="auto" w:fill="F0F4F8"/>
          </w:tcPr>
          <w:p>
            <w:pPr>
              <w:jc w:val="center"/>
            </w:pPr>
            <w:r>
              <w:rPr>
                <w:sz w:val="18"/>
              </w:rPr>
              <w:t>-10.4%</w:t>
            </w:r>
          </w:p>
        </w:tc>
      </w:tr>
      <w:tr>
        <w:tc>
          <w:tcPr>
            <w:tcW w:type="dxa" w:w="1881"/>
            <w:shd w:val="clear" w:color="auto" w:fill="FFFFFF"/>
          </w:tcPr>
          <w:p>
            <w:pPr>
              <w:jc w:val="left"/>
            </w:pPr>
            <w:r>
              <w:rPr>
                <w:sz w:val="18"/>
              </w:rPr>
              <w:t>Net Interest Income (RMB B)</w:t>
            </w:r>
          </w:p>
        </w:tc>
        <w:tc>
          <w:tcPr>
            <w:tcW w:type="dxa" w:w="1881"/>
            <w:shd w:val="clear" w:color="auto" w:fill="FFFFFF"/>
          </w:tcPr>
          <w:p>
            <w:pPr>
              <w:jc w:val="center"/>
            </w:pPr>
            <w:r>
              <w:rPr>
                <w:sz w:val="18"/>
              </w:rPr>
              <w:t>88.02</w:t>
            </w:r>
          </w:p>
        </w:tc>
        <w:tc>
          <w:tcPr>
            <w:tcW w:type="dxa" w:w="1881"/>
            <w:shd w:val="clear" w:color="auto" w:fill="FFFFFF"/>
          </w:tcPr>
          <w:p>
            <w:pPr>
              <w:jc w:val="center"/>
            </w:pPr>
            <w:r>
              <w:rPr>
                <w:sz w:val="18"/>
              </w:rPr>
              <w:t>~88.5</w:t>
            </w:r>
          </w:p>
        </w:tc>
        <w:tc>
          <w:tcPr>
            <w:tcW w:type="dxa" w:w="1881"/>
            <w:shd w:val="clear" w:color="auto" w:fill="FFFFFF"/>
          </w:tcPr>
          <w:p>
            <w:pPr>
              <w:jc w:val="center"/>
            </w:pPr>
            <w:r>
              <w:rPr>
                <w:sz w:val="18"/>
              </w:rPr>
              <w:t>-0.5% miss ↓</w:t>
            </w:r>
          </w:p>
        </w:tc>
        <w:tc>
          <w:tcPr>
            <w:tcW w:type="dxa" w:w="1881"/>
            <w:shd w:val="clear" w:color="auto" w:fill="FFFFFF"/>
          </w:tcPr>
          <w:p>
            <w:pPr>
              <w:jc w:val="center"/>
            </w:pPr>
            <w:r>
              <w:rPr>
                <w:sz w:val="18"/>
              </w:rPr>
              <w:t>-5.8%</w:t>
            </w:r>
          </w:p>
        </w:tc>
      </w:tr>
      <w:tr>
        <w:tc>
          <w:tcPr>
            <w:tcW w:type="dxa" w:w="1881"/>
            <w:shd w:val="clear" w:color="auto" w:fill="F0F4F8"/>
          </w:tcPr>
          <w:p>
            <w:pPr>
              <w:jc w:val="left"/>
            </w:pPr>
            <w:r>
              <w:rPr>
                <w:sz w:val="18"/>
              </w:rPr>
              <w:t>Net Profit Attr. (RMB B)</w:t>
            </w:r>
          </w:p>
        </w:tc>
        <w:tc>
          <w:tcPr>
            <w:tcW w:type="dxa" w:w="1881"/>
            <w:shd w:val="clear" w:color="auto" w:fill="F0F4F8"/>
          </w:tcPr>
          <w:p>
            <w:pPr>
              <w:jc w:val="center"/>
            </w:pPr>
            <w:r>
              <w:rPr>
                <w:sz w:val="18"/>
              </w:rPr>
              <w:t>42.63</w:t>
            </w:r>
          </w:p>
        </w:tc>
        <w:tc>
          <w:tcPr>
            <w:tcW w:type="dxa" w:w="1881"/>
            <w:shd w:val="clear" w:color="auto" w:fill="F0F4F8"/>
          </w:tcPr>
          <w:p>
            <w:pPr>
              <w:jc w:val="center"/>
            </w:pPr>
            <w:r>
              <w:rPr>
                <w:sz w:val="18"/>
              </w:rPr>
              <w:t>~42.2</w:t>
            </w:r>
          </w:p>
        </w:tc>
        <w:tc>
          <w:tcPr>
            <w:tcW w:type="dxa" w:w="1881"/>
            <w:shd w:val="clear" w:color="auto" w:fill="F0F4F8"/>
          </w:tcPr>
          <w:p>
            <w:pPr>
              <w:jc w:val="center"/>
            </w:pPr>
            <w:r>
              <w:rPr>
                <w:sz w:val="18"/>
              </w:rPr>
              <w:t>+1.0% beat ✓</w:t>
            </w:r>
          </w:p>
        </w:tc>
        <w:tc>
          <w:tcPr>
            <w:tcW w:type="dxa" w:w="1881"/>
            <w:shd w:val="clear" w:color="auto" w:fill="F0F4F8"/>
          </w:tcPr>
          <w:p>
            <w:pPr>
              <w:jc w:val="center"/>
            </w:pPr>
            <w:r>
              <w:rPr>
                <w:sz w:val="18"/>
              </w:rPr>
              <w:t>-4.2%</w:t>
            </w:r>
          </w:p>
        </w:tc>
      </w:tr>
      <w:tr>
        <w:tc>
          <w:tcPr>
            <w:tcW w:type="dxa" w:w="1881"/>
            <w:shd w:val="clear" w:color="auto" w:fill="FFFFFF"/>
          </w:tcPr>
          <w:p>
            <w:pPr>
              <w:jc w:val="left"/>
            </w:pPr>
            <w:r>
              <w:rPr>
                <w:sz w:val="18"/>
              </w:rPr>
              <w:t>EPS (RMB)</w:t>
            </w:r>
          </w:p>
        </w:tc>
        <w:tc>
          <w:tcPr>
            <w:tcW w:type="dxa" w:w="1881"/>
            <w:shd w:val="clear" w:color="auto" w:fill="FFFFFF"/>
          </w:tcPr>
          <w:p>
            <w:pPr>
              <w:jc w:val="center"/>
            </w:pPr>
            <w:r>
              <w:rPr>
                <w:sz w:val="18"/>
              </w:rPr>
              <w:t>2.07</w:t>
            </w:r>
          </w:p>
        </w:tc>
        <w:tc>
          <w:tcPr>
            <w:tcW w:type="dxa" w:w="1881"/>
            <w:shd w:val="clear" w:color="auto" w:fill="FFFFFF"/>
          </w:tcPr>
          <w:p>
            <w:pPr>
              <w:jc w:val="center"/>
            </w:pPr>
            <w:r>
              <w:rPr>
                <w:sz w:val="18"/>
              </w:rPr>
              <w:t>~2.04</w:t>
            </w:r>
          </w:p>
        </w:tc>
        <w:tc>
          <w:tcPr>
            <w:tcW w:type="dxa" w:w="1881"/>
            <w:shd w:val="clear" w:color="auto" w:fill="FFFFFF"/>
          </w:tcPr>
          <w:p>
            <w:pPr>
              <w:jc w:val="center"/>
            </w:pPr>
            <w:r>
              <w:rPr>
                <w:sz w:val="18"/>
              </w:rPr>
              <w:t>+1.5% beat ✓</w:t>
            </w:r>
          </w:p>
        </w:tc>
        <w:tc>
          <w:tcPr>
            <w:tcW w:type="dxa" w:w="1881"/>
            <w:shd w:val="clear" w:color="auto" w:fill="FFFFFF"/>
          </w:tcPr>
          <w:p>
            <w:pPr>
              <w:jc w:val="center"/>
            </w:pPr>
            <w:r>
              <w:rPr>
                <w:sz w:val="18"/>
              </w:rPr>
              <w:t>-4.2%</w:t>
            </w:r>
          </w:p>
        </w:tc>
      </w:tr>
      <w:tr>
        <w:tc>
          <w:tcPr>
            <w:tcW w:type="dxa" w:w="1881"/>
            <w:shd w:val="clear" w:color="auto" w:fill="F0F4F8"/>
          </w:tcPr>
          <w:p>
            <w:pPr>
              <w:jc w:val="left"/>
            </w:pPr>
            <w:r>
              <w:rPr>
                <w:sz w:val="18"/>
              </w:rPr>
              <w:t>NIM (%)</w:t>
            </w:r>
          </w:p>
        </w:tc>
        <w:tc>
          <w:tcPr>
            <w:tcW w:type="dxa" w:w="1881"/>
            <w:shd w:val="clear" w:color="auto" w:fill="F0F4F8"/>
          </w:tcPr>
          <w:p>
            <w:pPr>
              <w:jc w:val="center"/>
            </w:pPr>
            <w:r>
              <w:rPr>
                <w:sz w:val="18"/>
              </w:rPr>
              <w:t>1.78%</w:t>
            </w:r>
          </w:p>
        </w:tc>
        <w:tc>
          <w:tcPr>
            <w:tcW w:type="dxa" w:w="1881"/>
            <w:shd w:val="clear" w:color="auto" w:fill="F0F4F8"/>
          </w:tcPr>
          <w:p>
            <w:pPr>
              <w:jc w:val="center"/>
            </w:pPr>
            <w:r>
              <w:rPr>
                <w:sz w:val="18"/>
              </w:rPr>
              <w:t>~1.76%</w:t>
            </w:r>
          </w:p>
        </w:tc>
        <w:tc>
          <w:tcPr>
            <w:tcW w:type="dxa" w:w="1881"/>
            <w:shd w:val="clear" w:color="auto" w:fill="F0F4F8"/>
          </w:tcPr>
          <w:p>
            <w:pPr>
              <w:jc w:val="center"/>
            </w:pPr>
            <w:r>
              <w:rPr>
                <w:sz w:val="18"/>
              </w:rPr>
              <w:t>+2bps beat ✓</w:t>
            </w:r>
          </w:p>
        </w:tc>
        <w:tc>
          <w:tcPr>
            <w:tcW w:type="dxa" w:w="1881"/>
            <w:shd w:val="clear" w:color="auto" w:fill="F0F4F8"/>
          </w:tcPr>
          <w:p>
            <w:pPr>
              <w:jc w:val="center"/>
            </w:pPr>
            <w:r>
              <w:rPr>
                <w:sz w:val="18"/>
              </w:rPr>
              <w:t>-9bps</w:t>
            </w:r>
          </w:p>
        </w:tc>
      </w:tr>
      <w:tr>
        <w:tc>
          <w:tcPr>
            <w:tcW w:type="dxa" w:w="1881"/>
            <w:shd w:val="clear" w:color="auto" w:fill="FFFFFF"/>
          </w:tcPr>
          <w:p>
            <w:pPr>
              <w:jc w:val="left"/>
            </w:pPr>
            <w:r>
              <w:rPr>
                <w:sz w:val="18"/>
              </w:rPr>
              <w:t>NPL Ratio (%)</w:t>
            </w:r>
          </w:p>
        </w:tc>
        <w:tc>
          <w:tcPr>
            <w:tcW w:type="dxa" w:w="1881"/>
            <w:shd w:val="clear" w:color="auto" w:fill="FFFFFF"/>
          </w:tcPr>
          <w:p>
            <w:pPr>
              <w:jc w:val="center"/>
            </w:pPr>
            <w:r>
              <w:rPr>
                <w:sz w:val="18"/>
              </w:rPr>
              <w:t>1.05%</w:t>
            </w:r>
          </w:p>
        </w:tc>
        <w:tc>
          <w:tcPr>
            <w:tcW w:type="dxa" w:w="1881"/>
            <w:shd w:val="clear" w:color="auto" w:fill="FFFFFF"/>
          </w:tcPr>
          <w:p>
            <w:pPr>
              <w:jc w:val="center"/>
            </w:pPr>
            <w:r>
              <w:rPr>
                <w:sz w:val="18"/>
              </w:rPr>
              <w:t>~1.07%</w:t>
            </w:r>
          </w:p>
        </w:tc>
        <w:tc>
          <w:tcPr>
            <w:tcW w:type="dxa" w:w="1881"/>
            <w:shd w:val="clear" w:color="auto" w:fill="FFFFFF"/>
          </w:tcPr>
          <w:p>
            <w:pPr>
              <w:jc w:val="center"/>
            </w:pPr>
            <w:r>
              <w:rPr>
                <w:sz w:val="18"/>
              </w:rPr>
              <w:t>-2bps beat ✓</w:t>
            </w:r>
          </w:p>
        </w:tc>
        <w:tc>
          <w:tcPr>
            <w:tcW w:type="dxa" w:w="1881"/>
            <w:shd w:val="clear" w:color="auto" w:fill="FFFFFF"/>
          </w:tcPr>
          <w:p>
            <w:pPr>
              <w:jc w:val="center"/>
            </w:pPr>
            <w:r>
              <w:rPr>
                <w:sz w:val="18"/>
              </w:rPr>
              <w:t>-1bp</w:t>
            </w:r>
          </w:p>
        </w:tc>
      </w:tr>
      <w:tr>
        <w:tc>
          <w:tcPr>
            <w:tcW w:type="dxa" w:w="1881"/>
            <w:shd w:val="clear" w:color="auto" w:fill="F0F4F8"/>
          </w:tcPr>
          <w:p>
            <w:pPr>
              <w:jc w:val="left"/>
            </w:pPr>
            <w:r>
              <w:rPr>
                <w:sz w:val="18"/>
              </w:rPr>
              <w:t>Provision Coverage (%)</w:t>
            </w:r>
          </w:p>
        </w:tc>
        <w:tc>
          <w:tcPr>
            <w:tcW w:type="dxa" w:w="1881"/>
            <w:shd w:val="clear" w:color="auto" w:fill="F0F4F8"/>
          </w:tcPr>
          <w:p>
            <w:pPr>
              <w:jc w:val="center"/>
            </w:pPr>
            <w:r>
              <w:rPr>
                <w:sz w:val="18"/>
              </w:rPr>
              <w:t>220.88%</w:t>
            </w:r>
          </w:p>
        </w:tc>
        <w:tc>
          <w:tcPr>
            <w:tcW w:type="dxa" w:w="1881"/>
            <w:shd w:val="clear" w:color="auto" w:fill="F0F4F8"/>
          </w:tcPr>
          <w:p>
            <w:pPr>
              <w:jc w:val="center"/>
            </w:pPr>
            <w:r>
              <w:rPr>
                <w:sz w:val="18"/>
              </w:rPr>
              <w:t>~225%</w:t>
            </w:r>
          </w:p>
        </w:tc>
        <w:tc>
          <w:tcPr>
            <w:tcW w:type="dxa" w:w="1881"/>
            <w:shd w:val="clear" w:color="auto" w:fill="F0F4F8"/>
          </w:tcPr>
          <w:p>
            <w:pPr>
              <w:jc w:val="center"/>
            </w:pPr>
            <w:r>
              <w:rPr>
                <w:sz w:val="18"/>
              </w:rPr>
              <w:t>-4pp miss ↓</w:t>
            </w:r>
          </w:p>
        </w:tc>
        <w:tc>
          <w:tcPr>
            <w:tcW w:type="dxa" w:w="1881"/>
            <w:shd w:val="clear" w:color="auto" w:fill="F0F4F8"/>
          </w:tcPr>
          <w:p>
            <w:pPr>
              <w:jc w:val="center"/>
            </w:pPr>
            <w:r>
              <w:rPr>
                <w:sz w:val="18"/>
              </w:rPr>
              <w:t>-29.8pp</w:t>
            </w:r>
          </w:p>
        </w:tc>
      </w:tr>
      <w:tr>
        <w:tc>
          <w:tcPr>
            <w:tcW w:type="dxa" w:w="1881"/>
            <w:shd w:val="clear" w:color="auto" w:fill="FFFFFF"/>
          </w:tcPr>
          <w:p>
            <w:pPr>
              <w:jc w:val="left"/>
            </w:pPr>
            <w:r>
              <w:rPr>
                <w:sz w:val="18"/>
              </w:rPr>
              <w:t>CET1 Capital Ratio (%)</w:t>
            </w:r>
          </w:p>
        </w:tc>
        <w:tc>
          <w:tcPr>
            <w:tcW w:type="dxa" w:w="1881"/>
            <w:shd w:val="clear" w:color="auto" w:fill="FFFFFF"/>
          </w:tcPr>
          <w:p>
            <w:pPr>
              <w:jc w:val="center"/>
            </w:pPr>
            <w:r>
              <w:rPr>
                <w:sz w:val="18"/>
              </w:rPr>
              <w:t>9.36%</w:t>
            </w:r>
          </w:p>
        </w:tc>
        <w:tc>
          <w:tcPr>
            <w:tcW w:type="dxa" w:w="1881"/>
            <w:shd w:val="clear" w:color="auto" w:fill="FFFFFF"/>
          </w:tcPr>
          <w:p>
            <w:pPr>
              <w:jc w:val="center"/>
            </w:pPr>
            <w:r>
              <w:rPr>
                <w:sz w:val="18"/>
              </w:rPr>
              <w:t>~9.20%</w:t>
            </w:r>
          </w:p>
        </w:tc>
        <w:tc>
          <w:tcPr>
            <w:tcW w:type="dxa" w:w="1881"/>
            <w:shd w:val="clear" w:color="auto" w:fill="FFFFFF"/>
          </w:tcPr>
          <w:p>
            <w:pPr>
              <w:jc w:val="center"/>
            </w:pPr>
            <w:r>
              <w:rPr>
                <w:sz w:val="18"/>
              </w:rPr>
              <w:t>+16bps beat ✓</w:t>
            </w:r>
          </w:p>
        </w:tc>
        <w:tc>
          <w:tcPr>
            <w:tcW w:type="dxa" w:w="1881"/>
            <w:shd w:val="clear" w:color="auto" w:fill="FFFFFF"/>
          </w:tcPr>
          <w:p>
            <w:pPr>
              <w:jc w:val="center"/>
            </w:pPr>
            <w:r>
              <w:rPr>
                <w:sz w:val="18"/>
              </w:rPr>
              <w:t>+24bps</w:t>
            </w:r>
          </w:p>
        </w:tc>
      </w:tr>
      <w:tr>
        <w:tc>
          <w:tcPr>
            <w:tcW w:type="dxa" w:w="1881"/>
            <w:shd w:val="clear" w:color="auto" w:fill="F0F4F8"/>
          </w:tcPr>
          <w:p>
            <w:pPr>
              <w:jc w:val="left"/>
            </w:pPr>
            <w:r>
              <w:rPr>
                <w:sz w:val="18"/>
              </w:rPr>
              <w:t>Cost-to-Income (%)</w:t>
            </w:r>
          </w:p>
        </w:tc>
        <w:tc>
          <w:tcPr>
            <w:tcW w:type="dxa" w:w="1881"/>
            <w:shd w:val="clear" w:color="auto" w:fill="F0F4F8"/>
          </w:tcPr>
          <w:p>
            <w:pPr>
              <w:jc w:val="center"/>
            </w:pPr>
            <w:r>
              <w:rPr>
                <w:sz w:val="18"/>
              </w:rPr>
              <w:t>29.06%</w:t>
            </w:r>
          </w:p>
        </w:tc>
        <w:tc>
          <w:tcPr>
            <w:tcW w:type="dxa" w:w="1881"/>
            <w:shd w:val="clear" w:color="auto" w:fill="F0F4F8"/>
          </w:tcPr>
          <w:p>
            <w:pPr>
              <w:jc w:val="center"/>
            </w:pPr>
            <w:r>
              <w:rPr>
                <w:sz w:val="18"/>
              </w:rPr>
              <w:t>~29.0%</w:t>
            </w:r>
          </w:p>
        </w:tc>
        <w:tc>
          <w:tcPr>
            <w:tcW w:type="dxa" w:w="1881"/>
            <w:shd w:val="clear" w:color="auto" w:fill="F0F4F8"/>
          </w:tcPr>
          <w:p>
            <w:pPr>
              <w:jc w:val="center"/>
            </w:pPr>
            <w:r>
              <w:rPr>
                <w:sz w:val="18"/>
              </w:rPr>
              <w:t>In Line</w:t>
            </w:r>
          </w:p>
        </w:tc>
        <w:tc>
          <w:tcPr>
            <w:tcW w:type="dxa" w:w="1881"/>
            <w:shd w:val="clear" w:color="auto" w:fill="F0F4F8"/>
          </w:tcPr>
          <w:p>
            <w:pPr>
              <w:jc w:val="center"/>
            </w:pPr>
            <w:r>
              <w:rPr>
                <w:sz w:val="18"/>
              </w:rPr>
              <w:t>+1.4pp</w:t>
            </w:r>
          </w:p>
        </w:tc>
      </w:tr>
      <w:tr>
        <w:tc>
          <w:tcPr>
            <w:tcW w:type="dxa" w:w="1881"/>
            <w:shd w:val="clear" w:color="auto" w:fill="FFFFFF"/>
          </w:tcPr>
          <w:p>
            <w:pPr>
              <w:jc w:val="left"/>
            </w:pPr>
            <w:r>
              <w:rPr>
                <w:sz w:val="18"/>
              </w:rPr>
              <w:t>ROE (%)</w:t>
            </w:r>
          </w:p>
        </w:tc>
        <w:tc>
          <w:tcPr>
            <w:tcW w:type="dxa" w:w="1881"/>
            <w:shd w:val="clear" w:color="auto" w:fill="FFFFFF"/>
          </w:tcPr>
          <w:p>
            <w:pPr>
              <w:jc w:val="center"/>
            </w:pPr>
            <w:r>
              <w:rPr>
                <w:sz w:val="18"/>
              </w:rPr>
              <w:t>9.15%</w:t>
            </w:r>
          </w:p>
        </w:tc>
        <w:tc>
          <w:tcPr>
            <w:tcW w:type="dxa" w:w="1881"/>
            <w:shd w:val="clear" w:color="auto" w:fill="FFFFFF"/>
          </w:tcPr>
          <w:p>
            <w:pPr>
              <w:jc w:val="center"/>
            </w:pPr>
            <w:r>
              <w:rPr>
                <w:sz w:val="18"/>
              </w:rPr>
              <w:t>~9.2%</w:t>
            </w:r>
          </w:p>
        </w:tc>
        <w:tc>
          <w:tcPr>
            <w:tcW w:type="dxa" w:w="1881"/>
            <w:shd w:val="clear" w:color="auto" w:fill="FFFFFF"/>
          </w:tcPr>
          <w:p>
            <w:pPr>
              <w:jc w:val="center"/>
            </w:pPr>
            <w:r>
              <w:rPr>
                <w:sz w:val="18"/>
              </w:rPr>
              <w:t>In Line</w:t>
            </w:r>
          </w:p>
        </w:tc>
        <w:tc>
          <w:tcPr>
            <w:tcW w:type="dxa" w:w="1881"/>
            <w:shd w:val="clear" w:color="auto" w:fill="FFFFFF"/>
          </w:tcPr>
          <w:p>
            <w:pPr>
              <w:jc w:val="center"/>
            </w:pPr>
            <w:r>
              <w:rPr>
                <w:sz w:val="18"/>
              </w:rPr>
              <w:t>-0.93pp</w:t>
            </w:r>
          </w:p>
        </w:tc>
      </w:tr>
    </w:tbl>
    <w:p>
      <w:pPr>
        <w:jc w:val="center"/>
      </w:pPr>
      <w:r>
        <w:drawing>
          <wp:inline xmlns:a="http://schemas.openxmlformats.org/drawingml/2006/main" xmlns:pic="http://schemas.openxmlformats.org/drawingml/2006/picture">
            <wp:extent cx="5029200" cy="3267240"/>
            <wp:docPr id="1" name="Picture 1"/>
            <wp:cNvGraphicFramePr>
              <a:graphicFrameLocks noChangeAspect="1"/>
            </wp:cNvGraphicFramePr>
            <a:graphic>
              <a:graphicData uri="http://schemas.openxmlformats.org/drawingml/2006/picture">
                <pic:pic>
                  <pic:nvPicPr>
                    <pic:cNvPr id="0" name="pab_chart7_beat_miss.png"/>
                    <pic:cNvPicPr/>
                  </pic:nvPicPr>
                  <pic:blipFill>
                    <a:blip r:embed="rId9"/>
                    <a:stretch>
                      <a:fillRect/>
                    </a:stretch>
                  </pic:blipFill>
                  <pic:spPr>
                    <a:xfrm>
                      <a:off x="0" y="0"/>
                      <a:ext cx="5029200" cy="3267240"/>
                    </a:xfrm>
                    <a:prstGeom prst="rect"/>
                  </pic:spPr>
                </pic:pic>
              </a:graphicData>
            </a:graphic>
          </wp:inline>
        </w:drawing>
      </w:r>
    </w:p>
    <w:p>
      <w:pPr>
        <w:spacing w:after="160"/>
        <w:jc w:val="center"/>
      </w:pPr>
      <w:r>
        <w:rPr>
          <w:i/>
          <w:color w:val="8B8B8B"/>
          <w:sz w:val="17"/>
        </w:rPr>
        <w:t>Exhibit 1: FY2025 Actual vs. Pre-Results Consensus (Key Metrics)</w:t>
      </w:r>
    </w:p>
    <w:p>
      <w:pPr>
        <w:pBdr>
          <w:bottom w:val="single" w:sz="4" w:space="1" w:color="CCCCCC"/>
        </w:pBdr>
      </w:pPr>
    </w:p>
    <w:p>
      <w:pPr>
        <w:keepNext/>
        <w:spacing w:before="280" w:after="80"/>
        <w:pBdr>
          <w:bottom w:val="single" w:sz="6" w:space="1" w:color="003366"/>
        </w:pBdr>
      </w:pPr>
      <w:r>
        <w:rPr>
          <w:b/>
          <w:color w:val="003366"/>
          <w:sz w:val="24"/>
        </w:rPr>
        <w:t>II. DETAILED QUARTERLY &amp; FULL-YEAR RESULTS</w:t>
      </w:r>
    </w:p>
    <w:p>
      <w:pPr>
        <w:spacing w:before="160" w:after="60"/>
      </w:pPr>
      <w:r>
        <w:rPr>
          <w:b/>
          <w:color w:val="D0222A"/>
          <w:sz w:val="21"/>
        </w:rPr>
        <w:t>Revenue — Cyclical Low; Q4 Shows Sequential Stabilization</w:t>
      </w:r>
    </w:p>
    <w:p>
      <w:pPr>
        <w:spacing w:before="40" w:after="60"/>
      </w:pPr>
      <w:r>
        <w:rPr>
          <w:rFonts w:ascii="Times New Roman" w:hAnsi="Times New Roman"/>
          <w:b w:val="0"/>
          <w:sz w:val="20"/>
        </w:rPr>
        <w:t>FY2025 operating revenue of RMB 131.44B declined -10.4% YoY (FY2024: RMB 146.70B), the third consecutive year of double-digit revenue contraction driven primarily by NIM compression and declining non-interest income. On a quarterly basis, Q4 2025 revenue of ~RMB 30.77B declined -12.4% YoY, but sequential performance was more benign: Q1-Q4 2025 revenue was RMB 33.71B / 35.68B / 31.28B / 30.77B, showing relative stability in H2 after Q2's temporary non-interest income boost.</w:t>
      </w:r>
    </w:p>
    <w:p>
      <w:pPr>
        <w:spacing w:before="40" w:after="60"/>
      </w:pPr>
      <w:r>
        <w:rPr>
          <w:rFonts w:ascii="Times New Roman" w:hAnsi="Times New Roman"/>
          <w:b w:val="0"/>
          <w:sz w:val="20"/>
        </w:rPr>
        <w:t>Net interest income of RMB 88.02B (-5.8% YoY) was the primary revenue drag, though the pace of decline sharply decelerated vs. FY2024's implied ~-10% NII decline. Critically, Q4 NII grew +2.76% YoY — a key inflection point attributable to: (1) liability cost improvement (average funding cost fell 47bps to 1.67%); (2) slower asset repricing pressure as LPR cuts moderated; and (3) deposit mix improvement from high-cost time deposits toward lower-cost current/wealth product structures.</w:t>
      </w:r>
    </w:p>
    <w:p>
      <w:pPr>
        <w:jc w:val="center"/>
      </w:pPr>
      <w:r>
        <w:drawing>
          <wp:inline xmlns:a="http://schemas.openxmlformats.org/drawingml/2006/main" xmlns:pic="http://schemas.openxmlformats.org/drawingml/2006/picture">
            <wp:extent cx="5486400" cy="3557689"/>
            <wp:docPr id="2" name="Picture 2"/>
            <wp:cNvGraphicFramePr>
              <a:graphicFrameLocks noChangeAspect="1"/>
            </wp:cNvGraphicFramePr>
            <a:graphic>
              <a:graphicData uri="http://schemas.openxmlformats.org/drawingml/2006/picture">
                <pic:pic>
                  <pic:nvPicPr>
                    <pic:cNvPr id="0" name="pab_chart1_quarterly_revenue.png"/>
                    <pic:cNvPicPr/>
                  </pic:nvPicPr>
                  <pic:blipFill>
                    <a:blip r:embed="rId10"/>
                    <a:stretch>
                      <a:fillRect/>
                    </a:stretch>
                  </pic:blipFill>
                  <pic:spPr>
                    <a:xfrm>
                      <a:off x="0" y="0"/>
                      <a:ext cx="5486400" cy="3557689"/>
                    </a:xfrm>
                    <a:prstGeom prst="rect"/>
                  </pic:spPr>
                </pic:pic>
              </a:graphicData>
            </a:graphic>
          </wp:inline>
        </w:drawing>
      </w:r>
    </w:p>
    <w:p>
      <w:pPr>
        <w:spacing w:after="160"/>
        <w:jc w:val="center"/>
      </w:pPr>
      <w:r>
        <w:rPr>
          <w:i/>
          <w:color w:val="8B8B8B"/>
          <w:sz w:val="17"/>
        </w:rPr>
        <w:t>Exhibit 2: Quarterly Operating Revenue (Q1 2024–Q4 2025, RMB Billion)</w:t>
      </w:r>
    </w:p>
    <w:p>
      <w:pPr>
        <w:jc w:val="center"/>
      </w:pPr>
      <w:r>
        <w:drawing>
          <wp:inline xmlns:a="http://schemas.openxmlformats.org/drawingml/2006/main" xmlns:pic="http://schemas.openxmlformats.org/drawingml/2006/picture">
            <wp:extent cx="5029200" cy="3381704"/>
            <wp:docPr id="3" name="Picture 3"/>
            <wp:cNvGraphicFramePr>
              <a:graphicFrameLocks noChangeAspect="1"/>
            </wp:cNvGraphicFramePr>
            <a:graphic>
              <a:graphicData uri="http://schemas.openxmlformats.org/drawingml/2006/picture">
                <pic:pic>
                  <pic:nvPicPr>
                    <pic:cNvPr id="0" name="pab_chart10_income_structure.png"/>
                    <pic:cNvPicPr/>
                  </pic:nvPicPr>
                  <pic:blipFill>
                    <a:blip r:embed="rId11"/>
                    <a:stretch>
                      <a:fillRect/>
                    </a:stretch>
                  </pic:blipFill>
                  <pic:spPr>
                    <a:xfrm>
                      <a:off x="0" y="0"/>
                      <a:ext cx="5029200" cy="3381704"/>
                    </a:xfrm>
                    <a:prstGeom prst="rect"/>
                  </pic:spPr>
                </pic:pic>
              </a:graphicData>
            </a:graphic>
          </wp:inline>
        </w:drawing>
      </w:r>
    </w:p>
    <w:p>
      <w:pPr>
        <w:spacing w:after="160"/>
        <w:jc w:val="center"/>
      </w:pPr>
      <w:r>
        <w:rPr>
          <w:i/>
          <w:color w:val="8B8B8B"/>
          <w:sz w:val="17"/>
        </w:rPr>
        <w:t>Exhibit 3: Revenue Mix — Net Interest vs. Non-Interest Income (FY2022–FY2025)</w:t>
      </w:r>
    </w:p>
    <w:p>
      <w:pPr>
        <w:spacing w:before="160" w:after="60"/>
      </w:pPr>
      <w:r>
        <w:rPr>
          <w:b/>
          <w:color w:val="D0222A"/>
          <w:sz w:val="21"/>
        </w:rPr>
        <w:t>Net Profit — Stable Decline; Q4 Heavy Provisioning as Expected</w:t>
      </w:r>
    </w:p>
    <w:p>
      <w:pPr>
        <w:spacing w:before="40" w:after="60"/>
      </w:pPr>
      <w:r>
        <w:rPr>
          <w:rFonts w:ascii="Times New Roman" w:hAnsi="Times New Roman"/>
          <w:b w:val="0"/>
          <w:sz w:val="20"/>
        </w:rPr>
        <w:t>FY2025 net profit attributable to shareholders of RMB 42.63B declined -4.2% YoY (FY2024: RMB 44.51B), a slightly narrowing pace vs. FY2024's -4.2%. The Q4 standalone quarter implied net profit of ~RMB 4.29B was exceptionally weak (~-10% YoY vs Q4 2024's RMB 4.78B), reflecting the bank's customary year-end practice of front-loading provisioning charges into Q4. Provision charges (信用减值损失) declined -17.9% YoY to RMB 40.57B for FY2025, reflecting improving underlying credit quality and reduced need for large reserve builds.</w:t>
      </w:r>
    </w:p>
    <w:p>
      <w:pPr>
        <w:spacing w:before="40" w:after="60"/>
      </w:pPr>
      <w:r>
        <w:rPr>
          <w:rFonts w:ascii="Times New Roman" w:hAnsi="Times New Roman"/>
          <w:b w:val="0"/>
          <w:sz w:val="20"/>
        </w:rPr>
        <w:t>Full-year credit cost fell to 1.38% (-18bps YoY), providing a meaningful tailwind to bottom-line profitability in FY2026E as this normalization continues. The bank's pre-provision operating profit (PPOP) declined ~-11.9% YoY, indicating that revenue contraction remains the primary challenge — but as NIM stabilizes and credit costs normalize, we expect net profit to return to positive growth in FY2026E.</w:t>
      </w:r>
    </w:p>
    <w:p>
      <w:pPr>
        <w:jc w:val="center"/>
      </w:pPr>
      <w:r>
        <w:drawing>
          <wp:inline xmlns:a="http://schemas.openxmlformats.org/drawingml/2006/main" xmlns:pic="http://schemas.openxmlformats.org/drawingml/2006/picture">
            <wp:extent cx="5486400" cy="3557689"/>
            <wp:docPr id="4" name="Picture 4"/>
            <wp:cNvGraphicFramePr>
              <a:graphicFrameLocks noChangeAspect="1"/>
            </wp:cNvGraphicFramePr>
            <a:graphic>
              <a:graphicData uri="http://schemas.openxmlformats.org/drawingml/2006/picture">
                <pic:pic>
                  <pic:nvPicPr>
                    <pic:cNvPr id="0" name="pab_chart2_quarterly_netprofit.png"/>
                    <pic:cNvPicPr/>
                  </pic:nvPicPr>
                  <pic:blipFill>
                    <a:blip r:embed="rId12"/>
                    <a:stretch>
                      <a:fillRect/>
                    </a:stretch>
                  </pic:blipFill>
                  <pic:spPr>
                    <a:xfrm>
                      <a:off x="0" y="0"/>
                      <a:ext cx="5486400" cy="3557689"/>
                    </a:xfrm>
                    <a:prstGeom prst="rect"/>
                  </pic:spPr>
                </pic:pic>
              </a:graphicData>
            </a:graphic>
          </wp:inline>
        </w:drawing>
      </w:r>
    </w:p>
    <w:p>
      <w:pPr>
        <w:spacing w:after="160"/>
        <w:jc w:val="center"/>
      </w:pPr>
      <w:r>
        <w:rPr>
          <w:i/>
          <w:color w:val="8B8B8B"/>
          <w:sz w:val="17"/>
        </w:rPr>
        <w:t>Exhibit 4: Quarterly Net Profit with YoY Growth Labels (Q1 2024–Q4 2025)</w:t>
      </w:r>
    </w:p>
    <w:p>
      <w:pPr>
        <w:pBdr>
          <w:bottom w:val="single" w:sz="4" w:space="1" w:color="CCCCCC"/>
        </w:pBdr>
      </w:pPr>
    </w:p>
    <w:p>
      <w:pPr>
        <w:keepNext/>
        <w:spacing w:before="280" w:after="80"/>
        <w:pBdr>
          <w:bottom w:val="single" w:sz="6" w:space="1" w:color="003366"/>
        </w:pBdr>
      </w:pPr>
      <w:r>
        <w:rPr>
          <w:b/>
          <w:color w:val="003366"/>
          <w:sz w:val="24"/>
        </w:rPr>
        <w:t>III. KEY BANKING METRICS</w:t>
      </w:r>
    </w:p>
    <w:p>
      <w:pPr>
        <w:spacing w:before="160" w:after="60"/>
      </w:pPr>
      <w:r>
        <w:rPr>
          <w:b/>
          <w:color w:val="D0222A"/>
          <w:sz w:val="21"/>
        </w:rPr>
        <w:t>Net Interest Margin (NIM) — Critical Inflection Confirmed</w:t>
      </w:r>
    </w:p>
    <w:p>
      <w:pPr>
        <w:spacing w:before="40" w:after="60"/>
      </w:pPr>
      <w:r>
        <w:rPr>
          <w:rFonts w:ascii="Times New Roman" w:hAnsi="Times New Roman"/>
          <w:b w:val="0"/>
          <w:sz w:val="20"/>
        </w:rPr>
        <w:t>The FY2025 NIM of 1.78% represents only -9bps of decline vs. FY2024's 1.87%, a dramatic improvement over FY2024's -51bps compression (FY2023: 2.38%). This deceleration reflects: (1) average deposit cost declined 42bps to 1.65%, benefiting from regulatory deposit rate cuts and mix shift; (2) slower LPR-linked asset repricing (only one 10bps LPR cut in H2 2025 vs. multiple cuts in 2024); and (3) incremental benefit from corporate loan growth (+3.5% YoY) vs. declining personal loans (-2.3% YoY, primarily mortgage). Management declared NIM 'essentially stabilized' at the March 2026 investor conference, with FY2026E NIM consensus of ~1.77% — implying near-flat from FY2025.</w:t>
      </w:r>
    </w:p>
    <w:p>
      <w:pPr>
        <w:jc w:val="center"/>
      </w:pPr>
      <w:r>
        <w:drawing>
          <wp:inline xmlns:a="http://schemas.openxmlformats.org/drawingml/2006/main" xmlns:pic="http://schemas.openxmlformats.org/drawingml/2006/picture">
            <wp:extent cx="5029200" cy="3307294"/>
            <wp:docPr id="5" name="Picture 5"/>
            <wp:cNvGraphicFramePr>
              <a:graphicFrameLocks noChangeAspect="1"/>
            </wp:cNvGraphicFramePr>
            <a:graphic>
              <a:graphicData uri="http://schemas.openxmlformats.org/drawingml/2006/picture">
                <pic:pic>
                  <pic:nvPicPr>
                    <pic:cNvPr id="0" name="pab_chart3_nim_trend.png"/>
                    <pic:cNvPicPr/>
                  </pic:nvPicPr>
                  <pic:blipFill>
                    <a:blip r:embed="rId13"/>
                    <a:stretch>
                      <a:fillRect/>
                    </a:stretch>
                  </pic:blipFill>
                  <pic:spPr>
                    <a:xfrm>
                      <a:off x="0" y="0"/>
                      <a:ext cx="5029200" cy="3307294"/>
                    </a:xfrm>
                    <a:prstGeom prst="rect"/>
                  </pic:spPr>
                </pic:pic>
              </a:graphicData>
            </a:graphic>
          </wp:inline>
        </w:drawing>
      </w:r>
    </w:p>
    <w:p>
      <w:pPr>
        <w:spacing w:after="160"/>
        <w:jc w:val="center"/>
      </w:pPr>
      <w:r>
        <w:rPr>
          <w:i/>
          <w:color w:val="8B8B8B"/>
          <w:sz w:val="17"/>
        </w:rPr>
        <w:t>Exhibit 5: NIM Trend (FY2022–FY2025 Actual; FY2026E Consensus)</w:t>
      </w:r>
    </w:p>
    <w:p>
      <w:pPr>
        <w:spacing w:before="160" w:after="60"/>
      </w:pPr>
      <w:r>
        <w:rPr>
          <w:b/>
          <w:color w:val="D0222A"/>
          <w:sz w:val="21"/>
        </w:rPr>
        <w:t>Asset Quality — Continuing Improvement; Real Estate Remains Watchpoint</w:t>
      </w:r>
    </w:p>
    <w:p>
      <w:pPr>
        <w:spacing w:before="40" w:after="60"/>
      </w:pPr>
      <w:r>
        <w:rPr>
          <w:rFonts w:ascii="Times New Roman" w:hAnsi="Times New Roman"/>
          <w:b w:val="0"/>
          <w:sz w:val="20"/>
        </w:rPr>
        <w:t>Overall asset quality continued to improve in FY2025. The NPL ratio edged down 1bp to 1.05%, with personal loan NPL declining 16bps to 1.23% — signaling that retail credit normalization (post-COVID consumer stress) is progressing. The NPL formation rate declined 17bps to 1.63% and the overdue 90d+ deviation ratio of 0.56x (below 1.0x is favorable) indicates strong forward coverage of potential new NPLs.</w:t>
      </w:r>
    </w:p>
    <w:p>
      <w:pPr>
        <w:spacing w:before="40" w:after="60"/>
      </w:pPr>
      <w:r>
        <w:rPr>
          <w:rFonts w:ascii="Times New Roman" w:hAnsi="Times New Roman"/>
          <w:b w:val="0"/>
          <w:sz w:val="20"/>
        </w:rPr>
        <w:t>Corporate NPL rose 17bps to 0.87%, driven by real estate exposure where the NPL ratio deteriorated 43bps to 2.22% (FY2024: 1.79%). Real estate remains the key credit watchpoint, though the bank has been actively de-risking: real estate loans as a percentage of total corporate loans have declined significantly over 2023–2025. Provision coverage of 220.88% (-29.8pp YoY) is above the regulatory minimum and reflects deliberate normalization as underlying credit quality improves and provisioning needs decline.</w:t>
      </w:r>
    </w:p>
    <w:p>
      <w:pPr>
        <w:jc w:val="center"/>
      </w:pPr>
      <w:r>
        <w:drawing>
          <wp:inline xmlns:a="http://schemas.openxmlformats.org/drawingml/2006/main" xmlns:pic="http://schemas.openxmlformats.org/drawingml/2006/picture">
            <wp:extent cx="5029200" cy="3395643"/>
            <wp:docPr id="6" name="Picture 6"/>
            <wp:cNvGraphicFramePr>
              <a:graphicFrameLocks noChangeAspect="1"/>
            </wp:cNvGraphicFramePr>
            <a:graphic>
              <a:graphicData uri="http://schemas.openxmlformats.org/drawingml/2006/picture">
                <pic:pic>
                  <pic:nvPicPr>
                    <pic:cNvPr id="0" name="pab_chart4_asset_quality.png"/>
                    <pic:cNvPicPr/>
                  </pic:nvPicPr>
                  <pic:blipFill>
                    <a:blip r:embed="rId14"/>
                    <a:stretch>
                      <a:fillRect/>
                    </a:stretch>
                  </pic:blipFill>
                  <pic:spPr>
                    <a:xfrm>
                      <a:off x="0" y="0"/>
                      <a:ext cx="5029200" cy="3395643"/>
                    </a:xfrm>
                    <a:prstGeom prst="rect"/>
                  </pic:spPr>
                </pic:pic>
              </a:graphicData>
            </a:graphic>
          </wp:inline>
        </w:drawing>
      </w:r>
    </w:p>
    <w:p>
      <w:pPr>
        <w:spacing w:after="160"/>
        <w:jc w:val="center"/>
      </w:pPr>
      <w:r>
        <w:rPr>
          <w:i/>
          <w:color w:val="8B8B8B"/>
          <w:sz w:val="17"/>
        </w:rPr>
        <w:t>Exhibit 6: NPL Ratio &amp; Provision Coverage Ratio (H1 2024 – FY2025)</w:t>
      </w:r>
    </w:p>
    <w:p>
      <w:pPr>
        <w:spacing w:before="160" w:after="60"/>
      </w:pPr>
      <w:r>
        <w:rPr>
          <w:b/>
          <w:color w:val="D0222A"/>
          <w:sz w:val="21"/>
        </w:rPr>
        <w:t>Capital — Well-Capitalized; Organic Growth Sufficient</w:t>
      </w:r>
    </w:p>
    <w:p>
      <w:pPr>
        <w:spacing w:before="40" w:after="60"/>
      </w:pPr>
      <w:r>
        <w:rPr>
          <w:rFonts w:ascii="Times New Roman" w:hAnsi="Times New Roman"/>
          <w:b w:val="0"/>
          <w:sz w:val="20"/>
        </w:rPr>
        <w:t>CET1 capital ratio improved 24bps to 9.36% at FY2025 year-end (FY2024: 9.12%), and the total capital ratio rose 66bps to 13.77%. The improvement was driven by retained earnings and controlled risk-weighted asset growth (+0.5% loan growth). Management confirmed no rights offering is planned; organic capital generation is sufficient to support moderate 2026 business expansion. A higher capital base supports the bank's ability to maintain the 20–30% dividend payout target.</w:t>
      </w:r>
    </w:p>
    <w:p>
      <w:pPr>
        <w:jc w:val="center"/>
      </w:pPr>
      <w:r>
        <w:drawing>
          <wp:inline xmlns:a="http://schemas.openxmlformats.org/drawingml/2006/main" xmlns:pic="http://schemas.openxmlformats.org/drawingml/2006/picture">
            <wp:extent cx="4572000" cy="3362950"/>
            <wp:docPr id="7" name="Picture 7"/>
            <wp:cNvGraphicFramePr>
              <a:graphicFrameLocks noChangeAspect="1"/>
            </wp:cNvGraphicFramePr>
            <a:graphic>
              <a:graphicData uri="http://schemas.openxmlformats.org/drawingml/2006/picture">
                <pic:pic>
                  <pic:nvPicPr>
                    <pic:cNvPr id="0" name="pab_chart5_capital_ratios.png"/>
                    <pic:cNvPicPr/>
                  </pic:nvPicPr>
                  <pic:blipFill>
                    <a:blip r:embed="rId15"/>
                    <a:stretch>
                      <a:fillRect/>
                    </a:stretch>
                  </pic:blipFill>
                  <pic:spPr>
                    <a:xfrm>
                      <a:off x="0" y="0"/>
                      <a:ext cx="4572000" cy="3362950"/>
                    </a:xfrm>
                    <a:prstGeom prst="rect"/>
                  </pic:spPr>
                </pic:pic>
              </a:graphicData>
            </a:graphic>
          </wp:inline>
        </w:drawing>
      </w:r>
    </w:p>
    <w:p>
      <w:pPr>
        <w:spacing w:after="160"/>
        <w:jc w:val="center"/>
      </w:pPr>
      <w:r>
        <w:rPr>
          <w:i/>
          <w:color w:val="8B8B8B"/>
          <w:sz w:val="17"/>
        </w:rPr>
        <w:t>Exhibit 7: Capital Adequacy Ratios (FY2024 vs. FY2025)</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003366"/>
            <w:vAlign w:val="center"/>
          </w:tcPr>
          <w:p>
            <w:pPr>
              <w:jc w:val="center"/>
            </w:pPr>
            <w:r>
              <w:rPr>
                <w:b/>
                <w:color w:val="FFFFFF"/>
                <w:sz w:val="18"/>
              </w:rPr>
              <w:t>Metric</w:t>
            </w:r>
          </w:p>
        </w:tc>
        <w:tc>
          <w:tcPr>
            <w:tcW w:type="dxa" w:w="1568"/>
            <w:shd w:val="clear" w:color="auto" w:fill="003366"/>
            <w:vAlign w:val="center"/>
          </w:tcPr>
          <w:p>
            <w:pPr>
              <w:jc w:val="center"/>
            </w:pPr>
            <w:r>
              <w:rPr>
                <w:b/>
                <w:color w:val="FFFFFF"/>
                <w:sz w:val="18"/>
              </w:rPr>
              <w:t>FY2023A</w:t>
            </w:r>
          </w:p>
        </w:tc>
        <w:tc>
          <w:tcPr>
            <w:tcW w:type="dxa" w:w="1568"/>
            <w:shd w:val="clear" w:color="auto" w:fill="003366"/>
            <w:vAlign w:val="center"/>
          </w:tcPr>
          <w:p>
            <w:pPr>
              <w:jc w:val="center"/>
            </w:pPr>
            <w:r>
              <w:rPr>
                <w:b/>
                <w:color w:val="FFFFFF"/>
                <w:sz w:val="18"/>
              </w:rPr>
              <w:t>FY2024A</w:t>
            </w:r>
          </w:p>
        </w:tc>
        <w:tc>
          <w:tcPr>
            <w:tcW w:type="dxa" w:w="1568"/>
            <w:shd w:val="clear" w:color="auto" w:fill="003366"/>
            <w:vAlign w:val="center"/>
          </w:tcPr>
          <w:p>
            <w:pPr>
              <w:jc w:val="center"/>
            </w:pPr>
            <w:r>
              <w:rPr>
                <w:b/>
                <w:color w:val="FFFFFF"/>
                <w:sz w:val="18"/>
              </w:rPr>
              <w:t>H1 2025A</w:t>
            </w:r>
          </w:p>
        </w:tc>
        <w:tc>
          <w:tcPr>
            <w:tcW w:type="dxa" w:w="1568"/>
            <w:shd w:val="clear" w:color="auto" w:fill="003366"/>
            <w:vAlign w:val="center"/>
          </w:tcPr>
          <w:p>
            <w:pPr>
              <w:jc w:val="center"/>
            </w:pPr>
            <w:r>
              <w:rPr>
                <w:b/>
                <w:color w:val="FFFFFF"/>
                <w:sz w:val="18"/>
              </w:rPr>
              <w:t>FY2025A</w:t>
            </w:r>
          </w:p>
        </w:tc>
        <w:tc>
          <w:tcPr>
            <w:tcW w:type="dxa" w:w="1568"/>
            <w:shd w:val="clear" w:color="auto" w:fill="003366"/>
            <w:vAlign w:val="center"/>
          </w:tcPr>
          <w:p>
            <w:pPr>
              <w:jc w:val="center"/>
            </w:pPr>
            <w:r>
              <w:rPr>
                <w:b/>
                <w:color w:val="FFFFFF"/>
                <w:sz w:val="18"/>
              </w:rPr>
              <w:t>FY2026E</w:t>
            </w:r>
          </w:p>
        </w:tc>
      </w:tr>
      <w:tr>
        <w:tc>
          <w:tcPr>
            <w:tcW w:type="dxa" w:w="1568"/>
            <w:shd w:val="clear" w:color="auto" w:fill="F0F4F8"/>
          </w:tcPr>
          <w:p>
            <w:pPr>
              <w:jc w:val="left"/>
            </w:pPr>
            <w:r>
              <w:rPr>
                <w:sz w:val="18"/>
              </w:rPr>
              <w:t>Revenue (RMB B)</w:t>
            </w:r>
          </w:p>
        </w:tc>
        <w:tc>
          <w:tcPr>
            <w:tcW w:type="dxa" w:w="1568"/>
            <w:shd w:val="clear" w:color="auto" w:fill="F0F4F8"/>
          </w:tcPr>
          <w:p>
            <w:pPr>
              <w:jc w:val="center"/>
            </w:pPr>
            <w:r>
              <w:rPr>
                <w:sz w:val="18"/>
              </w:rPr>
              <w:t>164.70</w:t>
            </w:r>
          </w:p>
        </w:tc>
        <w:tc>
          <w:tcPr>
            <w:tcW w:type="dxa" w:w="1568"/>
            <w:shd w:val="clear" w:color="auto" w:fill="F0F4F8"/>
          </w:tcPr>
          <w:p>
            <w:pPr>
              <w:jc w:val="center"/>
            </w:pPr>
            <w:r>
              <w:rPr>
                <w:sz w:val="18"/>
              </w:rPr>
              <w:t>146.70</w:t>
            </w:r>
          </w:p>
        </w:tc>
        <w:tc>
          <w:tcPr>
            <w:tcW w:type="dxa" w:w="1568"/>
            <w:shd w:val="clear" w:color="auto" w:fill="F0F4F8"/>
          </w:tcPr>
          <w:p>
            <w:pPr>
              <w:jc w:val="center"/>
            </w:pPr>
            <w:r>
              <w:rPr>
                <w:sz w:val="18"/>
              </w:rPr>
              <w:t>69.39</w:t>
            </w:r>
          </w:p>
        </w:tc>
        <w:tc>
          <w:tcPr>
            <w:tcW w:type="dxa" w:w="1568"/>
            <w:shd w:val="clear" w:color="auto" w:fill="F0F4F8"/>
          </w:tcPr>
          <w:p>
            <w:pPr>
              <w:jc w:val="center"/>
            </w:pPr>
            <w:r>
              <w:rPr>
                <w:sz w:val="18"/>
              </w:rPr>
              <w:t>131.44</w:t>
            </w:r>
          </w:p>
        </w:tc>
        <w:tc>
          <w:tcPr>
            <w:tcW w:type="dxa" w:w="1568"/>
            <w:shd w:val="clear" w:color="auto" w:fill="F0F4F8"/>
          </w:tcPr>
          <w:p>
            <w:pPr>
              <w:jc w:val="center"/>
            </w:pPr>
            <w:r>
              <w:rPr>
                <w:sz w:val="18"/>
              </w:rPr>
              <w:t>~135.2</w:t>
            </w:r>
          </w:p>
        </w:tc>
      </w:tr>
      <w:tr>
        <w:tc>
          <w:tcPr>
            <w:tcW w:type="dxa" w:w="1568"/>
            <w:shd w:val="clear" w:color="auto" w:fill="FFFFFF"/>
          </w:tcPr>
          <w:p>
            <w:pPr>
              <w:jc w:val="left"/>
            </w:pPr>
            <w:r>
              <w:rPr>
                <w:sz w:val="18"/>
              </w:rPr>
              <w:t>Net Profit (RMB B)</w:t>
            </w:r>
          </w:p>
        </w:tc>
        <w:tc>
          <w:tcPr>
            <w:tcW w:type="dxa" w:w="1568"/>
            <w:shd w:val="clear" w:color="auto" w:fill="FFFFFF"/>
          </w:tcPr>
          <w:p>
            <w:pPr>
              <w:jc w:val="center"/>
            </w:pPr>
            <w:r>
              <w:rPr>
                <w:sz w:val="18"/>
              </w:rPr>
              <w:t>46.46</w:t>
            </w:r>
          </w:p>
        </w:tc>
        <w:tc>
          <w:tcPr>
            <w:tcW w:type="dxa" w:w="1568"/>
            <w:shd w:val="clear" w:color="auto" w:fill="FFFFFF"/>
          </w:tcPr>
          <w:p>
            <w:pPr>
              <w:jc w:val="center"/>
            </w:pPr>
            <w:r>
              <w:rPr>
                <w:sz w:val="18"/>
              </w:rPr>
              <w:t>44.51</w:t>
            </w:r>
          </w:p>
        </w:tc>
        <w:tc>
          <w:tcPr>
            <w:tcW w:type="dxa" w:w="1568"/>
            <w:shd w:val="clear" w:color="auto" w:fill="FFFFFF"/>
          </w:tcPr>
          <w:p>
            <w:pPr>
              <w:jc w:val="center"/>
            </w:pPr>
            <w:r>
              <w:rPr>
                <w:sz w:val="18"/>
              </w:rPr>
              <w:t>24.87</w:t>
            </w:r>
          </w:p>
        </w:tc>
        <w:tc>
          <w:tcPr>
            <w:tcW w:type="dxa" w:w="1568"/>
            <w:shd w:val="clear" w:color="auto" w:fill="FFFFFF"/>
          </w:tcPr>
          <w:p>
            <w:pPr>
              <w:jc w:val="center"/>
            </w:pPr>
            <w:r>
              <w:rPr>
                <w:sz w:val="18"/>
              </w:rPr>
              <w:t>42.63</w:t>
            </w:r>
          </w:p>
        </w:tc>
        <w:tc>
          <w:tcPr>
            <w:tcW w:type="dxa" w:w="1568"/>
            <w:shd w:val="clear" w:color="auto" w:fill="FFFFFF"/>
          </w:tcPr>
          <w:p>
            <w:pPr>
              <w:jc w:val="center"/>
            </w:pPr>
            <w:r>
              <w:rPr>
                <w:sz w:val="18"/>
              </w:rPr>
              <w:t>~43.36</w:t>
            </w:r>
          </w:p>
        </w:tc>
      </w:tr>
      <w:tr>
        <w:tc>
          <w:tcPr>
            <w:tcW w:type="dxa" w:w="1568"/>
            <w:shd w:val="clear" w:color="auto" w:fill="F0F4F8"/>
          </w:tcPr>
          <w:p>
            <w:pPr>
              <w:jc w:val="left"/>
            </w:pPr>
            <w:r>
              <w:rPr>
                <w:sz w:val="18"/>
              </w:rPr>
              <w:t>NIM (%)</w:t>
            </w:r>
          </w:p>
        </w:tc>
        <w:tc>
          <w:tcPr>
            <w:tcW w:type="dxa" w:w="1568"/>
            <w:shd w:val="clear" w:color="auto" w:fill="F0F4F8"/>
          </w:tcPr>
          <w:p>
            <w:pPr>
              <w:jc w:val="center"/>
            </w:pPr>
            <w:r>
              <w:rPr>
                <w:sz w:val="18"/>
              </w:rPr>
              <w:t>2.38</w:t>
            </w:r>
          </w:p>
        </w:tc>
        <w:tc>
          <w:tcPr>
            <w:tcW w:type="dxa" w:w="1568"/>
            <w:shd w:val="clear" w:color="auto" w:fill="F0F4F8"/>
          </w:tcPr>
          <w:p>
            <w:pPr>
              <w:jc w:val="center"/>
            </w:pPr>
            <w:r>
              <w:rPr>
                <w:sz w:val="18"/>
              </w:rPr>
              <w:t>1.87</w:t>
            </w:r>
          </w:p>
        </w:tc>
        <w:tc>
          <w:tcPr>
            <w:tcW w:type="dxa" w:w="1568"/>
            <w:shd w:val="clear" w:color="auto" w:fill="F0F4F8"/>
          </w:tcPr>
          <w:p>
            <w:pPr>
              <w:jc w:val="center"/>
            </w:pPr>
            <w:r>
              <w:rPr>
                <w:sz w:val="18"/>
              </w:rPr>
              <w:t>1.80</w:t>
            </w:r>
          </w:p>
        </w:tc>
        <w:tc>
          <w:tcPr>
            <w:tcW w:type="dxa" w:w="1568"/>
            <w:shd w:val="clear" w:color="auto" w:fill="F0F4F8"/>
          </w:tcPr>
          <w:p>
            <w:pPr>
              <w:jc w:val="center"/>
            </w:pPr>
            <w:r>
              <w:rPr>
                <w:sz w:val="18"/>
              </w:rPr>
              <w:t>1.78</w:t>
            </w:r>
          </w:p>
        </w:tc>
        <w:tc>
          <w:tcPr>
            <w:tcW w:type="dxa" w:w="1568"/>
            <w:shd w:val="clear" w:color="auto" w:fill="F0F4F8"/>
          </w:tcPr>
          <w:p>
            <w:pPr>
              <w:jc w:val="center"/>
            </w:pPr>
            <w:r>
              <w:rPr>
                <w:sz w:val="18"/>
              </w:rPr>
              <w:t>~1.77</w:t>
            </w:r>
          </w:p>
        </w:tc>
      </w:tr>
      <w:tr>
        <w:tc>
          <w:tcPr>
            <w:tcW w:type="dxa" w:w="1568"/>
            <w:shd w:val="clear" w:color="auto" w:fill="FFFFFF"/>
          </w:tcPr>
          <w:p>
            <w:pPr>
              <w:jc w:val="left"/>
            </w:pPr>
            <w:r>
              <w:rPr>
                <w:sz w:val="18"/>
              </w:rPr>
              <w:t>NPL Ratio (%)</w:t>
            </w:r>
          </w:p>
        </w:tc>
        <w:tc>
          <w:tcPr>
            <w:tcW w:type="dxa" w:w="1568"/>
            <w:shd w:val="clear" w:color="auto" w:fill="FFFFFF"/>
          </w:tcPr>
          <w:p>
            <w:pPr>
              <w:jc w:val="center"/>
            </w:pPr>
            <w:r>
              <w:rPr>
                <w:sz w:val="18"/>
              </w:rPr>
              <w:t>1.06</w:t>
            </w:r>
          </w:p>
        </w:tc>
        <w:tc>
          <w:tcPr>
            <w:tcW w:type="dxa" w:w="1568"/>
            <w:shd w:val="clear" w:color="auto" w:fill="FFFFFF"/>
          </w:tcPr>
          <w:p>
            <w:pPr>
              <w:jc w:val="center"/>
            </w:pPr>
            <w:r>
              <w:rPr>
                <w:sz w:val="18"/>
              </w:rPr>
              <w:t>1.06</w:t>
            </w:r>
          </w:p>
        </w:tc>
        <w:tc>
          <w:tcPr>
            <w:tcW w:type="dxa" w:w="1568"/>
            <w:shd w:val="clear" w:color="auto" w:fill="FFFFFF"/>
          </w:tcPr>
          <w:p>
            <w:pPr>
              <w:jc w:val="center"/>
            </w:pPr>
            <w:r>
              <w:rPr>
                <w:sz w:val="18"/>
              </w:rPr>
              <w:t>1.10</w:t>
            </w:r>
          </w:p>
        </w:tc>
        <w:tc>
          <w:tcPr>
            <w:tcW w:type="dxa" w:w="1568"/>
            <w:shd w:val="clear" w:color="auto" w:fill="FFFFFF"/>
          </w:tcPr>
          <w:p>
            <w:pPr>
              <w:jc w:val="center"/>
            </w:pPr>
            <w:r>
              <w:rPr>
                <w:sz w:val="18"/>
              </w:rPr>
              <w:t>1.05</w:t>
            </w:r>
          </w:p>
        </w:tc>
        <w:tc>
          <w:tcPr>
            <w:tcW w:type="dxa" w:w="1568"/>
            <w:shd w:val="clear" w:color="auto" w:fill="FFFFFF"/>
          </w:tcPr>
          <w:p>
            <w:pPr>
              <w:jc w:val="center"/>
            </w:pPr>
            <w:r>
              <w:rPr>
                <w:sz w:val="18"/>
              </w:rPr>
              <w:t>~1.03</w:t>
            </w:r>
          </w:p>
        </w:tc>
      </w:tr>
      <w:tr>
        <w:tc>
          <w:tcPr>
            <w:tcW w:type="dxa" w:w="1568"/>
            <w:shd w:val="clear" w:color="auto" w:fill="F0F4F8"/>
          </w:tcPr>
          <w:p>
            <w:pPr>
              <w:jc w:val="left"/>
            </w:pPr>
            <w:r>
              <w:rPr>
                <w:sz w:val="18"/>
              </w:rPr>
              <w:t>Provision Coverage (%)</w:t>
            </w:r>
          </w:p>
        </w:tc>
        <w:tc>
          <w:tcPr>
            <w:tcW w:type="dxa" w:w="1568"/>
            <w:shd w:val="clear" w:color="auto" w:fill="F0F4F8"/>
          </w:tcPr>
          <w:p>
            <w:pPr>
              <w:jc w:val="center"/>
            </w:pPr>
            <w:r>
              <w:rPr>
                <w:sz w:val="18"/>
              </w:rPr>
              <w:t>277.6</w:t>
            </w:r>
          </w:p>
        </w:tc>
        <w:tc>
          <w:tcPr>
            <w:tcW w:type="dxa" w:w="1568"/>
            <w:shd w:val="clear" w:color="auto" w:fill="F0F4F8"/>
          </w:tcPr>
          <w:p>
            <w:pPr>
              <w:jc w:val="center"/>
            </w:pPr>
            <w:r>
              <w:rPr>
                <w:sz w:val="18"/>
              </w:rPr>
              <w:t>250.71</w:t>
            </w:r>
          </w:p>
        </w:tc>
        <w:tc>
          <w:tcPr>
            <w:tcW w:type="dxa" w:w="1568"/>
            <w:shd w:val="clear" w:color="auto" w:fill="F0F4F8"/>
          </w:tcPr>
          <w:p>
            <w:pPr>
              <w:jc w:val="center"/>
            </w:pPr>
            <w:r>
              <w:rPr>
                <w:sz w:val="18"/>
              </w:rPr>
              <w:t>246.6</w:t>
            </w:r>
          </w:p>
        </w:tc>
        <w:tc>
          <w:tcPr>
            <w:tcW w:type="dxa" w:w="1568"/>
            <w:shd w:val="clear" w:color="auto" w:fill="F0F4F8"/>
          </w:tcPr>
          <w:p>
            <w:pPr>
              <w:jc w:val="center"/>
            </w:pPr>
            <w:r>
              <w:rPr>
                <w:sz w:val="18"/>
              </w:rPr>
              <w:t>220.88</w:t>
            </w:r>
          </w:p>
        </w:tc>
        <w:tc>
          <w:tcPr>
            <w:tcW w:type="dxa" w:w="1568"/>
            <w:shd w:val="clear" w:color="auto" w:fill="F0F4F8"/>
          </w:tcPr>
          <w:p>
            <w:pPr>
              <w:jc w:val="center"/>
            </w:pPr>
            <w:r>
              <w:rPr>
                <w:sz w:val="18"/>
              </w:rPr>
              <w:t>~215</w:t>
            </w:r>
          </w:p>
        </w:tc>
      </w:tr>
      <w:tr>
        <w:tc>
          <w:tcPr>
            <w:tcW w:type="dxa" w:w="1568"/>
            <w:shd w:val="clear" w:color="auto" w:fill="FFFFFF"/>
          </w:tcPr>
          <w:p>
            <w:pPr>
              <w:jc w:val="left"/>
            </w:pPr>
            <w:r>
              <w:rPr>
                <w:sz w:val="18"/>
              </w:rPr>
              <w:t>CET1 (%)</w:t>
            </w:r>
          </w:p>
        </w:tc>
        <w:tc>
          <w:tcPr>
            <w:tcW w:type="dxa" w:w="1568"/>
            <w:shd w:val="clear" w:color="auto" w:fill="FFFFFF"/>
          </w:tcPr>
          <w:p>
            <w:pPr>
              <w:jc w:val="center"/>
            </w:pPr>
            <w:r>
              <w:rPr>
                <w:sz w:val="18"/>
              </w:rPr>
              <w:t>8.84</w:t>
            </w:r>
          </w:p>
        </w:tc>
        <w:tc>
          <w:tcPr>
            <w:tcW w:type="dxa" w:w="1568"/>
            <w:shd w:val="clear" w:color="auto" w:fill="FFFFFF"/>
          </w:tcPr>
          <w:p>
            <w:pPr>
              <w:jc w:val="center"/>
            </w:pPr>
            <w:r>
              <w:rPr>
                <w:sz w:val="18"/>
              </w:rPr>
              <w:t>9.12</w:t>
            </w:r>
          </w:p>
        </w:tc>
        <w:tc>
          <w:tcPr>
            <w:tcW w:type="dxa" w:w="1568"/>
            <w:shd w:val="clear" w:color="auto" w:fill="FFFFFF"/>
          </w:tcPr>
          <w:p>
            <w:pPr>
              <w:jc w:val="center"/>
            </w:pPr>
            <w:r>
              <w:rPr>
                <w:sz w:val="18"/>
              </w:rPr>
              <w:t>9.20</w:t>
            </w:r>
          </w:p>
        </w:tc>
        <w:tc>
          <w:tcPr>
            <w:tcW w:type="dxa" w:w="1568"/>
            <w:shd w:val="clear" w:color="auto" w:fill="FFFFFF"/>
          </w:tcPr>
          <w:p>
            <w:pPr>
              <w:jc w:val="center"/>
            </w:pPr>
            <w:r>
              <w:rPr>
                <w:sz w:val="18"/>
              </w:rPr>
              <w:t>9.36</w:t>
            </w:r>
          </w:p>
        </w:tc>
        <w:tc>
          <w:tcPr>
            <w:tcW w:type="dxa" w:w="1568"/>
            <w:shd w:val="clear" w:color="auto" w:fill="FFFFFF"/>
          </w:tcPr>
          <w:p>
            <w:pPr>
              <w:jc w:val="center"/>
            </w:pPr>
            <w:r>
              <w:rPr>
                <w:sz w:val="18"/>
              </w:rPr>
              <w:t>~9.5</w:t>
            </w:r>
          </w:p>
        </w:tc>
      </w:tr>
      <w:tr>
        <w:tc>
          <w:tcPr>
            <w:tcW w:type="dxa" w:w="1568"/>
            <w:shd w:val="clear" w:color="auto" w:fill="F0F4F8"/>
          </w:tcPr>
          <w:p>
            <w:pPr>
              <w:jc w:val="left"/>
            </w:pPr>
            <w:r>
              <w:rPr>
                <w:sz w:val="18"/>
              </w:rPr>
              <w:t>ROE (%)</w:t>
            </w:r>
          </w:p>
        </w:tc>
        <w:tc>
          <w:tcPr>
            <w:tcW w:type="dxa" w:w="1568"/>
            <w:shd w:val="clear" w:color="auto" w:fill="F0F4F8"/>
          </w:tcPr>
          <w:p>
            <w:pPr>
              <w:jc w:val="center"/>
            </w:pPr>
            <w:r>
              <w:rPr>
                <w:sz w:val="18"/>
              </w:rPr>
              <w:t>11.4</w:t>
            </w:r>
          </w:p>
        </w:tc>
        <w:tc>
          <w:tcPr>
            <w:tcW w:type="dxa" w:w="1568"/>
            <w:shd w:val="clear" w:color="auto" w:fill="F0F4F8"/>
          </w:tcPr>
          <w:p>
            <w:pPr>
              <w:jc w:val="center"/>
            </w:pPr>
            <w:r>
              <w:rPr>
                <w:sz w:val="18"/>
              </w:rPr>
              <w:t>10.08</w:t>
            </w:r>
          </w:p>
        </w:tc>
        <w:tc>
          <w:tcPr>
            <w:tcW w:type="dxa" w:w="1568"/>
            <w:shd w:val="clear" w:color="auto" w:fill="F0F4F8"/>
          </w:tcPr>
          <w:p>
            <w:pPr>
              <w:jc w:val="center"/>
            </w:pPr>
            <w:r>
              <w:rPr>
                <w:sz w:val="18"/>
              </w:rPr>
              <w:t>9.52</w:t>
            </w:r>
          </w:p>
        </w:tc>
        <w:tc>
          <w:tcPr>
            <w:tcW w:type="dxa" w:w="1568"/>
            <w:shd w:val="clear" w:color="auto" w:fill="F0F4F8"/>
          </w:tcPr>
          <w:p>
            <w:pPr>
              <w:jc w:val="center"/>
            </w:pPr>
            <w:r>
              <w:rPr>
                <w:sz w:val="18"/>
              </w:rPr>
              <w:t>9.15</w:t>
            </w:r>
          </w:p>
        </w:tc>
        <w:tc>
          <w:tcPr>
            <w:tcW w:type="dxa" w:w="1568"/>
            <w:shd w:val="clear" w:color="auto" w:fill="F0F4F8"/>
          </w:tcPr>
          <w:p>
            <w:pPr>
              <w:jc w:val="center"/>
            </w:pPr>
            <w:r>
              <w:rPr>
                <w:sz w:val="18"/>
              </w:rPr>
              <w:t>~8.9</w:t>
            </w:r>
          </w:p>
        </w:tc>
      </w:tr>
      <w:tr>
        <w:tc>
          <w:tcPr>
            <w:tcW w:type="dxa" w:w="1568"/>
            <w:shd w:val="clear" w:color="auto" w:fill="FFFFFF"/>
          </w:tcPr>
          <w:p>
            <w:pPr>
              <w:jc w:val="left"/>
            </w:pPr>
            <w:r>
              <w:rPr>
                <w:sz w:val="18"/>
              </w:rPr>
              <w:t>Cost-to-Income (%)</w:t>
            </w:r>
          </w:p>
        </w:tc>
        <w:tc>
          <w:tcPr>
            <w:tcW w:type="dxa" w:w="1568"/>
            <w:shd w:val="clear" w:color="auto" w:fill="FFFFFF"/>
          </w:tcPr>
          <w:p>
            <w:pPr>
              <w:jc w:val="center"/>
            </w:pPr>
            <w:r>
              <w:rPr>
                <w:sz w:val="18"/>
              </w:rPr>
              <w:t>26.3</w:t>
            </w:r>
          </w:p>
        </w:tc>
        <w:tc>
          <w:tcPr>
            <w:tcW w:type="dxa" w:w="1568"/>
            <w:shd w:val="clear" w:color="auto" w:fill="FFFFFF"/>
          </w:tcPr>
          <w:p>
            <w:pPr>
              <w:jc w:val="center"/>
            </w:pPr>
            <w:r>
              <w:rPr>
                <w:sz w:val="18"/>
              </w:rPr>
              <w:t>~27.7</w:t>
            </w:r>
          </w:p>
        </w:tc>
        <w:tc>
          <w:tcPr>
            <w:tcW w:type="dxa" w:w="1568"/>
            <w:shd w:val="clear" w:color="auto" w:fill="FFFFFF"/>
          </w:tcPr>
          <w:p>
            <w:pPr>
              <w:jc w:val="center"/>
            </w:pPr>
            <w:r>
              <w:rPr>
                <w:sz w:val="18"/>
              </w:rPr>
              <w:t>28.3</w:t>
            </w:r>
          </w:p>
        </w:tc>
        <w:tc>
          <w:tcPr>
            <w:tcW w:type="dxa" w:w="1568"/>
            <w:shd w:val="clear" w:color="auto" w:fill="FFFFFF"/>
          </w:tcPr>
          <w:p>
            <w:pPr>
              <w:jc w:val="center"/>
            </w:pPr>
            <w:r>
              <w:rPr>
                <w:sz w:val="18"/>
              </w:rPr>
              <w:t>29.06</w:t>
            </w:r>
          </w:p>
        </w:tc>
        <w:tc>
          <w:tcPr>
            <w:tcW w:type="dxa" w:w="1568"/>
            <w:shd w:val="clear" w:color="auto" w:fill="FFFFFF"/>
          </w:tcPr>
          <w:p>
            <w:pPr>
              <w:jc w:val="center"/>
            </w:pPr>
            <w:r>
              <w:rPr>
                <w:sz w:val="18"/>
              </w:rPr>
              <w:t>~27.7</w:t>
            </w:r>
          </w:p>
        </w:tc>
      </w:tr>
      <w:tr>
        <w:tc>
          <w:tcPr>
            <w:tcW w:type="dxa" w:w="1568"/>
            <w:shd w:val="clear" w:color="auto" w:fill="F0F4F8"/>
          </w:tcPr>
          <w:p>
            <w:pPr>
              <w:jc w:val="left"/>
            </w:pPr>
            <w:r>
              <w:rPr>
                <w:sz w:val="18"/>
              </w:rPr>
              <w:t>EPS (RMB)</w:t>
            </w:r>
          </w:p>
        </w:tc>
        <w:tc>
          <w:tcPr>
            <w:tcW w:type="dxa" w:w="1568"/>
            <w:shd w:val="clear" w:color="auto" w:fill="F0F4F8"/>
          </w:tcPr>
          <w:p>
            <w:pPr>
              <w:jc w:val="center"/>
            </w:pPr>
            <w:r>
              <w:rPr>
                <w:sz w:val="18"/>
              </w:rPr>
              <w:t>2.25</w:t>
            </w:r>
          </w:p>
        </w:tc>
        <w:tc>
          <w:tcPr>
            <w:tcW w:type="dxa" w:w="1568"/>
            <w:shd w:val="clear" w:color="auto" w:fill="F0F4F8"/>
          </w:tcPr>
          <w:p>
            <w:pPr>
              <w:jc w:val="center"/>
            </w:pPr>
            <w:r>
              <w:rPr>
                <w:sz w:val="18"/>
              </w:rPr>
              <w:t>2.16</w:t>
            </w:r>
          </w:p>
        </w:tc>
        <w:tc>
          <w:tcPr>
            <w:tcW w:type="dxa" w:w="1568"/>
            <w:shd w:val="clear" w:color="auto" w:fill="F0F4F8"/>
          </w:tcPr>
          <w:p>
            <w:pPr>
              <w:jc w:val="center"/>
            </w:pPr>
            <w:r>
              <w:rPr>
                <w:sz w:val="18"/>
              </w:rPr>
              <w:t>1.21</w:t>
            </w:r>
          </w:p>
        </w:tc>
        <w:tc>
          <w:tcPr>
            <w:tcW w:type="dxa" w:w="1568"/>
            <w:shd w:val="clear" w:color="auto" w:fill="F0F4F8"/>
          </w:tcPr>
          <w:p>
            <w:pPr>
              <w:jc w:val="center"/>
            </w:pPr>
            <w:r>
              <w:rPr>
                <w:sz w:val="18"/>
              </w:rPr>
              <w:t>2.07</w:t>
            </w:r>
          </w:p>
        </w:tc>
        <w:tc>
          <w:tcPr>
            <w:tcW w:type="dxa" w:w="1568"/>
            <w:shd w:val="clear" w:color="auto" w:fill="F0F4F8"/>
          </w:tcPr>
          <w:p>
            <w:pPr>
              <w:jc w:val="center"/>
            </w:pPr>
            <w:r>
              <w:rPr>
                <w:sz w:val="18"/>
              </w:rPr>
              <w:t>~2.19</w:t>
            </w:r>
          </w:p>
        </w:tc>
      </w:tr>
      <w:tr>
        <w:tc>
          <w:tcPr>
            <w:tcW w:type="dxa" w:w="1568"/>
            <w:shd w:val="clear" w:color="auto" w:fill="FFFFFF"/>
          </w:tcPr>
          <w:p>
            <w:pPr>
              <w:jc w:val="left"/>
            </w:pPr>
            <w:r>
              <w:rPr>
                <w:sz w:val="18"/>
              </w:rPr>
              <w:t>BVPS (RMB)</w:t>
            </w:r>
          </w:p>
        </w:tc>
        <w:tc>
          <w:tcPr>
            <w:tcW w:type="dxa" w:w="1568"/>
            <w:shd w:val="clear" w:color="auto" w:fill="FFFFFF"/>
          </w:tcPr>
          <w:p>
            <w:pPr>
              <w:jc w:val="center"/>
            </w:pPr>
            <w:r>
              <w:rPr>
                <w:sz w:val="18"/>
              </w:rPr>
              <w:t>21.1</w:t>
            </w:r>
          </w:p>
        </w:tc>
        <w:tc>
          <w:tcPr>
            <w:tcW w:type="dxa" w:w="1568"/>
            <w:shd w:val="clear" w:color="auto" w:fill="FFFFFF"/>
          </w:tcPr>
          <w:p>
            <w:pPr>
              <w:jc w:val="center"/>
            </w:pPr>
            <w:r>
              <w:rPr>
                <w:sz w:val="18"/>
              </w:rPr>
              <w:t>~22.4</w:t>
            </w:r>
          </w:p>
        </w:tc>
        <w:tc>
          <w:tcPr>
            <w:tcW w:type="dxa" w:w="1568"/>
            <w:shd w:val="clear" w:color="auto" w:fill="FFFFFF"/>
          </w:tcPr>
          <w:p>
            <w:pPr>
              <w:jc w:val="center"/>
            </w:pPr>
            <w:r>
              <w:rPr>
                <w:sz w:val="18"/>
              </w:rPr>
              <w:t>~23.1</w:t>
            </w:r>
          </w:p>
        </w:tc>
        <w:tc>
          <w:tcPr>
            <w:tcW w:type="dxa" w:w="1568"/>
            <w:shd w:val="clear" w:color="auto" w:fill="FFFFFF"/>
          </w:tcPr>
          <w:p>
            <w:pPr>
              <w:jc w:val="center"/>
            </w:pPr>
            <w:r>
              <w:rPr>
                <w:sz w:val="18"/>
              </w:rPr>
              <w:t>~24.0</w:t>
            </w:r>
          </w:p>
        </w:tc>
        <w:tc>
          <w:tcPr>
            <w:tcW w:type="dxa" w:w="1568"/>
            <w:shd w:val="clear" w:color="auto" w:fill="FFFFFF"/>
          </w:tcPr>
          <w:p>
            <w:pPr>
              <w:jc w:val="center"/>
            </w:pPr>
            <w:r>
              <w:rPr>
                <w:sz w:val="18"/>
              </w:rPr>
              <w:t>~24.9</w:t>
            </w:r>
          </w:p>
        </w:tc>
      </w:tr>
    </w:tbl>
    <w:p>
      <w:pPr>
        <w:pBdr>
          <w:bottom w:val="single" w:sz="4" w:space="1" w:color="CCCCCC"/>
        </w:pBdr>
      </w:pPr>
    </w:p>
    <w:p>
      <w:pPr>
        <w:keepNext/>
        <w:spacing w:before="280" w:after="80"/>
        <w:pBdr>
          <w:bottom w:val="single" w:sz="6" w:space="1" w:color="003366"/>
        </w:pBdr>
      </w:pPr>
      <w:r>
        <w:rPr>
          <w:b/>
          <w:color w:val="003366"/>
          <w:sz w:val="24"/>
        </w:rPr>
        <w:t>IV. RETAIL BANKING TRANSFORMATION PROGRESS</w:t>
      </w:r>
    </w:p>
    <w:p>
      <w:pPr>
        <w:spacing w:before="40" w:after="60"/>
      </w:pPr>
      <w:r>
        <w:rPr>
          <w:rFonts w:ascii="Times New Roman" w:hAnsi="Times New Roman"/>
          <w:b w:val="0"/>
          <w:sz w:val="20"/>
        </w:rPr>
        <w:t>Ping An Bank's multi-year retail transformation remains the central long-term investment thesis. FY2025 marked a breakthrough in retail profitability: retail banking net profit surged +828% YoY to RMB 2.68B (FY2024: RMB 289M), increasing its share of total bank net profit to 6.3% from 0.6% — reflecting the cyclical trough passage in retail credit costs. Management estimates the retail transformation is '~70% complete, ~30% remaining.'</w:t>
      </w:r>
    </w:p>
    <w:p>
      <w:pPr>
        <w:spacing w:before="160" w:after="60"/>
      </w:pPr>
      <w:r>
        <w:rPr>
          <w:b/>
          <w:color w:val="D0222A"/>
          <w:sz w:val="21"/>
        </w:rPr>
        <w:t>Wealth Management — A Bright Spot</w:t>
      </w:r>
    </w:p>
    <w:p>
      <w:pPr>
        <w:pStyle w:val="ListBullet"/>
        <w:spacing w:before="20" w:after="40"/>
      </w:pPr>
      <w:r>
        <w:rPr>
          <w:b w:val="0"/>
          <w:sz w:val="20"/>
        </w:rPr>
        <w:t>Total retail AUM: RMB 4.24 trillion (+1.1% YoY vs. RMB 4.19 trillion in FY2024) — modest growth constrained by equity market volatility but demonstrates resilient client relationships.</w:t>
      </w:r>
    </w:p>
    <w:p>
      <w:pPr>
        <w:pStyle w:val="ListBullet"/>
        <w:spacing w:before="20" w:after="40"/>
      </w:pPr>
      <w:r>
        <w:rPr>
          <w:b w:val="0"/>
          <w:sz w:val="20"/>
        </w:rPr>
        <w:t>Private banking clients: +9.1% to 105,600; private banking AUM: RMB 1.991 trillion (+0.8% YoY). Private banking is the highest-margin retail segment and the key long-term growth driver.</w:t>
      </w:r>
    </w:p>
    <w:p>
      <w:pPr>
        <w:pStyle w:val="ListBullet"/>
        <w:spacing w:before="20" w:after="40"/>
      </w:pPr>
      <w:r>
        <w:rPr>
          <w:b w:val="0"/>
          <w:sz w:val="20"/>
        </w:rPr>
        <w:t>Wealth management fee income: +15.8% YoY to RMB 5.06B — driven by insurance +53.3%, mutual funds +8.9%, and wealth products +8.8%. Fee income is growing even as total non-interest income declines, indicating structural quality improvement.</w:t>
      </w:r>
    </w:p>
    <w:p>
      <w:pPr>
        <w:pStyle w:val="ListBullet"/>
        <w:spacing w:before="20" w:after="40"/>
      </w:pPr>
      <w:r>
        <w:rPr>
          <w:b w:val="0"/>
          <w:sz w:val="20"/>
        </w:rPr>
        <w:t>Pocket Bank (口袋银行) MAU ~40M — a key digital distribution advantage for fee income.</w:t>
      </w:r>
    </w:p>
    <w:p>
      <w:pPr>
        <w:pStyle w:val="ListBullet"/>
        <w:spacing w:before="20" w:after="40"/>
      </w:pPr>
      <w:r>
        <w:rPr>
          <w:b w:val="0"/>
          <w:sz w:val="20"/>
        </w:rPr>
        <w:t>Strategic integration with Ping An Insurance: Cross-selling bancassurance products drove insurance commission income +53.3% YoY; the insurance-bank synergy model is differentiating vs. non-conglomerate peers.</w:t>
      </w:r>
    </w:p>
    <w:p>
      <w:pPr>
        <w:jc w:val="center"/>
      </w:pPr>
      <w:r>
        <w:drawing>
          <wp:inline xmlns:a="http://schemas.openxmlformats.org/drawingml/2006/main" xmlns:pic="http://schemas.openxmlformats.org/drawingml/2006/picture">
            <wp:extent cx="5029200" cy="3395643"/>
            <wp:docPr id="8" name="Picture 8"/>
            <wp:cNvGraphicFramePr>
              <a:graphicFrameLocks noChangeAspect="1"/>
            </wp:cNvGraphicFramePr>
            <a:graphic>
              <a:graphicData uri="http://schemas.openxmlformats.org/drawingml/2006/picture">
                <pic:pic>
                  <pic:nvPicPr>
                    <pic:cNvPr id="0" name="pab_chart6_retail_wealth.png"/>
                    <pic:cNvPicPr/>
                  </pic:nvPicPr>
                  <pic:blipFill>
                    <a:blip r:embed="rId16"/>
                    <a:stretch>
                      <a:fillRect/>
                    </a:stretch>
                  </pic:blipFill>
                  <pic:spPr>
                    <a:xfrm>
                      <a:off x="0" y="0"/>
                      <a:ext cx="5029200" cy="3395643"/>
                    </a:xfrm>
                    <a:prstGeom prst="rect"/>
                  </pic:spPr>
                </pic:pic>
              </a:graphicData>
            </a:graphic>
          </wp:inline>
        </w:drawing>
      </w:r>
    </w:p>
    <w:p>
      <w:pPr>
        <w:spacing w:after="160"/>
        <w:jc w:val="center"/>
      </w:pPr>
      <w:r>
        <w:rPr>
          <w:i/>
          <w:color w:val="8B8B8B"/>
          <w:sz w:val="17"/>
        </w:rPr>
        <w:t>Exhibit 8: Retail AUM, Wealth Clients &amp; Private Banking Clients (FY2023–FY2025)</w:t>
      </w:r>
    </w:p>
    <w:p>
      <w:pPr>
        <w:pBdr>
          <w:bottom w:val="single" w:sz="4" w:space="1" w:color="CCCCCC"/>
        </w:pBdr>
      </w:pPr>
    </w:p>
    <w:p>
      <w:pPr>
        <w:keepNext/>
        <w:spacing w:before="280" w:after="80"/>
        <w:pBdr>
          <w:bottom w:val="single" w:sz="6" w:space="1" w:color="003366"/>
        </w:pBdr>
      </w:pPr>
      <w:r>
        <w:rPr>
          <w:b/>
          <w:color w:val="003366"/>
          <w:sz w:val="24"/>
        </w:rPr>
        <w:t>V. INVESTMENT THESIS UPDATE — MAINTAIN BUY</w:t>
      </w:r>
    </w:p>
    <w:p>
      <w:pPr>
        <w:spacing w:before="40" w:after="60"/>
      </w:pPr>
      <w:r>
        <w:rPr>
          <w:rFonts w:ascii="Times New Roman" w:hAnsi="Times New Roman"/>
          <w:b w:val="0"/>
          <w:sz w:val="20"/>
        </w:rPr>
        <w:t>We maintain our BUY rating with a 12-month price target of RMB 14.00 (0.56x FY2026E BPS ~RMB 24.9), representing ~29% upside from current levels. The investment thesis is predicated on: (1) NIM stabilization as the most critical near-term catalyst; (2) declining credit costs as retail NPL formation peaks; (3) retail transformation driving sustained fee income growth; and (4) a ~5.5% dividend yield providing downside protection at current valuations (~0.44x P/B).</w:t>
      </w:r>
    </w:p>
    <w:p>
      <w:pPr>
        <w:spacing w:before="160" w:after="60"/>
      </w:pPr>
      <w:r>
        <w:rPr>
          <w:b/>
          <w:color w:val="D0222A"/>
          <w:sz w:val="21"/>
        </w:rPr>
        <w:t>Bull Case Catalysts</w:t>
      </w:r>
    </w:p>
    <w:p>
      <w:pPr>
        <w:pStyle w:val="ListBullet"/>
        <w:spacing w:before="20" w:after="40"/>
      </w:pPr>
      <w:r>
        <w:rPr>
          <w:b w:val="0"/>
          <w:sz w:val="20"/>
        </w:rPr>
        <w:t>NIM inflection: Q4 NII turned positive YoY for the first time in multiple quarters. If Q1 2026 NII continues to grow YoY, revenue growth will return in 2026 — the single most important catalyst for re-rating.</w:t>
      </w:r>
    </w:p>
    <w:p>
      <w:pPr>
        <w:pStyle w:val="ListBullet"/>
        <w:spacing w:before="20" w:after="40"/>
      </w:pPr>
      <w:r>
        <w:rPr>
          <w:b w:val="0"/>
          <w:sz w:val="20"/>
        </w:rPr>
        <w:t>Credit cost normalization: NPL formation rate of 1.63% is declining. As retail credit stress (personal loans, credit cards, mortgages) continues to normalize, provisions can decline further from RMB 40.57B in FY2025 to ~RMB 36–38B in FY2026E, directly boosting bottom-line growth even if PPOP is flat.</w:t>
      </w:r>
    </w:p>
    <w:p>
      <w:pPr>
        <w:pStyle w:val="ListBullet"/>
        <w:spacing w:before="20" w:after="40"/>
      </w:pPr>
      <w:r>
        <w:rPr>
          <w:b w:val="0"/>
          <w:sz w:val="20"/>
        </w:rPr>
        <w:t>Retail profit contribution expansion: Retail banking at 6.3% of total net profit in FY2025 vs. 0.6% in FY2024 demonstrates the transformation is delivering. Targeting 25–30% retail contribution by FY2027E as consumer credit quality normalizes.</w:t>
      </w:r>
    </w:p>
    <w:p>
      <w:pPr>
        <w:pStyle w:val="ListBullet"/>
        <w:spacing w:before="20" w:after="40"/>
      </w:pPr>
      <w:r>
        <w:rPr>
          <w:b w:val="0"/>
          <w:sz w:val="20"/>
        </w:rPr>
        <w:t>Valuation floor at ~0.44x P/B: Historically low vs. Ping An Bank's 5-year average of ~0.85x P/B. A re-rating to 0.6x P/B alone (still below historical average) implies RMB 15/share upside from current levels.</w:t>
      </w:r>
    </w:p>
    <w:p>
      <w:pPr>
        <w:pStyle w:val="ListBullet"/>
        <w:spacing w:before="20" w:after="40"/>
      </w:pPr>
      <w:r>
        <w:rPr>
          <w:b w:val="0"/>
          <w:sz w:val="20"/>
        </w:rPr>
        <w:t>Ping An Group parent support: Strong backing from China's largest insurance group provides funding, insurance cross-sell synergies, and systemic importance protection.</w:t>
      </w:r>
    </w:p>
    <w:p>
      <w:pPr>
        <w:spacing w:before="160" w:after="60"/>
      </w:pPr>
      <w:r>
        <w:rPr>
          <w:b/>
          <w:color w:val="D0222A"/>
          <w:sz w:val="21"/>
        </w:rPr>
        <w:t>Key Risks</w:t>
      </w:r>
    </w:p>
    <w:p>
      <w:pPr>
        <w:pStyle w:val="ListBullet"/>
        <w:spacing w:before="20" w:after="40"/>
      </w:pPr>
      <w:r>
        <w:rPr>
          <w:b w:val="0"/>
          <w:sz w:val="20"/>
        </w:rPr>
        <w:t>Revenue pressure continuation: If LPR is cut further in 2026 or deposit repricing is slower than expected, NIM could compress again, delaying revenue recovery.</w:t>
      </w:r>
    </w:p>
    <w:p>
      <w:pPr>
        <w:pStyle w:val="ListBullet"/>
        <w:spacing w:before="20" w:after="40"/>
      </w:pPr>
      <w:r>
        <w:rPr>
          <w:b w:val="0"/>
          <w:sz w:val="20"/>
        </w:rPr>
        <w:t>Real estate NPL deterioration: Corporate NPL rose (mainly real estate at 2.22%). A broader real estate credit event could force fresh provision builds, potentially reversing the credit cost improvement trend.</w:t>
      </w:r>
    </w:p>
    <w:p>
      <w:pPr>
        <w:pStyle w:val="ListBullet"/>
        <w:spacing w:before="20" w:after="40"/>
      </w:pPr>
      <w:r>
        <w:rPr>
          <w:b w:val="0"/>
          <w:sz w:val="20"/>
        </w:rPr>
        <w:t>Macro slowdown: Consumption softness and SME stress could re-accelerate retail NPL formation, particularly in personal consumption loans and credit card receivables.</w:t>
      </w:r>
    </w:p>
    <w:p>
      <w:pPr>
        <w:pStyle w:val="ListBullet"/>
        <w:spacing w:before="20" w:after="40"/>
      </w:pPr>
      <w:r>
        <w:rPr>
          <w:b w:val="0"/>
          <w:sz w:val="20"/>
        </w:rPr>
        <w:t>Capital adequacy pressure: CET1 at 9.36% is above minimum but leaves limited buffer for rapid loan growth or unexpected losses. Dividend aspirations could be constrained.</w:t>
      </w:r>
    </w:p>
    <w:p>
      <w:pPr>
        <w:pStyle w:val="ListBullet"/>
        <w:spacing w:before="20" w:after="40"/>
      </w:pPr>
      <w:r>
        <w:rPr>
          <w:b w:val="0"/>
          <w:sz w:val="20"/>
        </w:rPr>
        <w:t>Competition from state-owned banks: Large state banks (ICBC, CCB, ABC) are aggressively competing in wealth management and corporate lending — Ping An Bank's competitive moat is narrowing in these segments.</w:t>
      </w:r>
    </w:p>
    <w:p>
      <w:pPr>
        <w:pBdr>
          <w:bottom w:val="single" w:sz="4" w:space="1" w:color="CCCCCC"/>
        </w:pBdr>
      </w:pPr>
    </w:p>
    <w:p>
      <w:pPr>
        <w:keepNext/>
        <w:spacing w:before="280" w:after="80"/>
        <w:pBdr>
          <w:bottom w:val="single" w:sz="6" w:space="1" w:color="003366"/>
        </w:pBdr>
      </w:pPr>
      <w:r>
        <w:rPr>
          <w:b/>
          <w:color w:val="003366"/>
          <w:sz w:val="24"/>
        </w:rPr>
        <w:t>VI. VALUATION &amp; UPDATED ESTIMATES</w:t>
      </w:r>
    </w:p>
    <w:p>
      <w:pPr>
        <w:spacing w:before="160" w:after="60"/>
      </w:pPr>
      <w:r>
        <w:rPr>
          <w:b/>
          <w:color w:val="D0222A"/>
          <w:sz w:val="21"/>
        </w:rPr>
        <w:t>Price Target: RMB 14.00 (0.56x FY2026E BPS)</w:t>
      </w:r>
    </w:p>
    <w:p>
      <w:pPr>
        <w:spacing w:before="40" w:after="60"/>
      </w:pPr>
      <w:r>
        <w:rPr>
          <w:rFonts w:ascii="Times New Roman" w:hAnsi="Times New Roman"/>
          <w:b w:val="0"/>
          <w:sz w:val="20"/>
        </w:rPr>
        <w:t>Our 12-month price target of RMB 14.00 is based on 0.56x FY2026E book value per share of ~RMB 24.9 (consensus). This P/B multiple is justified by our FY2026E ROE estimate of ~8.9%, with a required return of ~10% (COE), implying a justified P/B of ~0.9x via Gordon Growth Model — we apply a 40% discount to intrinsic value to reflect execution risk on the retail transformation and macro uncertainty, yielding 0.56x P/B. The consensus target price of RMB 14.25 (25 institutions) is consistent with our target.</w:t>
      </w:r>
    </w:p>
    <w:p>
      <w:pPr>
        <w:spacing w:before="40" w:after="60"/>
      </w:pPr>
      <w:r>
        <w:rPr>
          <w:rFonts w:ascii="Times New Roman" w:hAnsi="Times New Roman"/>
          <w:b w:val="0"/>
          <w:sz w:val="20"/>
        </w:rPr>
        <w:t>Bull scenario (0.70x FY2026E BPS): RMB 17.4/share — requires full NIM stabilization and accelerating retail profitability. Bear scenario (0.40x FY2026E BPS): RMB 10.0/share — implies renewed credit deterioration and further NIM compression.</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003366"/>
            <w:vAlign w:val="center"/>
          </w:tcPr>
          <w:p>
            <w:pPr>
              <w:jc w:val="center"/>
            </w:pPr>
            <w:r>
              <w:rPr>
                <w:b/>
                <w:color w:val="FFFFFF"/>
                <w:sz w:val="18"/>
              </w:rPr>
              <w:t>Metric</w:t>
            </w:r>
          </w:p>
        </w:tc>
        <w:tc>
          <w:tcPr>
            <w:tcW w:type="dxa" w:w="1568"/>
            <w:shd w:val="clear" w:color="auto" w:fill="003366"/>
            <w:vAlign w:val="center"/>
          </w:tcPr>
          <w:p>
            <w:pPr>
              <w:jc w:val="center"/>
            </w:pPr>
            <w:r>
              <w:rPr>
                <w:b/>
                <w:color w:val="FFFFFF"/>
                <w:sz w:val="18"/>
              </w:rPr>
              <w:t>FY2023A</w:t>
            </w:r>
          </w:p>
        </w:tc>
        <w:tc>
          <w:tcPr>
            <w:tcW w:type="dxa" w:w="1568"/>
            <w:shd w:val="clear" w:color="auto" w:fill="003366"/>
            <w:vAlign w:val="center"/>
          </w:tcPr>
          <w:p>
            <w:pPr>
              <w:jc w:val="center"/>
            </w:pPr>
            <w:r>
              <w:rPr>
                <w:b/>
                <w:color w:val="FFFFFF"/>
                <w:sz w:val="18"/>
              </w:rPr>
              <w:t>FY2024A</w:t>
            </w:r>
          </w:p>
        </w:tc>
        <w:tc>
          <w:tcPr>
            <w:tcW w:type="dxa" w:w="1568"/>
            <w:shd w:val="clear" w:color="auto" w:fill="003366"/>
            <w:vAlign w:val="center"/>
          </w:tcPr>
          <w:p>
            <w:pPr>
              <w:jc w:val="center"/>
            </w:pPr>
            <w:r>
              <w:rPr>
                <w:b/>
                <w:color w:val="FFFFFF"/>
                <w:sz w:val="18"/>
              </w:rPr>
              <w:t>FY2025A</w:t>
            </w:r>
          </w:p>
        </w:tc>
        <w:tc>
          <w:tcPr>
            <w:tcW w:type="dxa" w:w="1568"/>
            <w:shd w:val="clear" w:color="auto" w:fill="003366"/>
            <w:vAlign w:val="center"/>
          </w:tcPr>
          <w:p>
            <w:pPr>
              <w:jc w:val="center"/>
            </w:pPr>
            <w:r>
              <w:rPr>
                <w:b/>
                <w:color w:val="FFFFFF"/>
                <w:sz w:val="18"/>
              </w:rPr>
              <w:t>FY2026E</w:t>
            </w:r>
          </w:p>
        </w:tc>
        <w:tc>
          <w:tcPr>
            <w:tcW w:type="dxa" w:w="1568"/>
            <w:shd w:val="clear" w:color="auto" w:fill="003366"/>
            <w:vAlign w:val="center"/>
          </w:tcPr>
          <w:p>
            <w:pPr>
              <w:jc w:val="center"/>
            </w:pPr>
            <w:r>
              <w:rPr>
                <w:b/>
                <w:color w:val="FFFFFF"/>
                <w:sz w:val="18"/>
              </w:rPr>
              <w:t>FY2027E</w:t>
            </w:r>
          </w:p>
        </w:tc>
      </w:tr>
      <w:tr>
        <w:tc>
          <w:tcPr>
            <w:tcW w:type="dxa" w:w="1568"/>
            <w:shd w:val="clear" w:color="auto" w:fill="F0F4F8"/>
          </w:tcPr>
          <w:p>
            <w:pPr>
              <w:jc w:val="left"/>
            </w:pPr>
            <w:r>
              <w:rPr>
                <w:sz w:val="18"/>
              </w:rPr>
              <w:t>Revenue (RMB B)</w:t>
            </w:r>
          </w:p>
        </w:tc>
        <w:tc>
          <w:tcPr>
            <w:tcW w:type="dxa" w:w="1568"/>
            <w:shd w:val="clear" w:color="auto" w:fill="F0F4F8"/>
          </w:tcPr>
          <w:p>
            <w:pPr>
              <w:jc w:val="center"/>
            </w:pPr>
            <w:r>
              <w:rPr>
                <w:sz w:val="18"/>
              </w:rPr>
              <w:t>164.70</w:t>
            </w:r>
          </w:p>
        </w:tc>
        <w:tc>
          <w:tcPr>
            <w:tcW w:type="dxa" w:w="1568"/>
            <w:shd w:val="clear" w:color="auto" w:fill="F0F4F8"/>
          </w:tcPr>
          <w:p>
            <w:pPr>
              <w:jc w:val="center"/>
            </w:pPr>
            <w:r>
              <w:rPr>
                <w:sz w:val="18"/>
              </w:rPr>
              <w:t>146.70</w:t>
            </w:r>
          </w:p>
        </w:tc>
        <w:tc>
          <w:tcPr>
            <w:tcW w:type="dxa" w:w="1568"/>
            <w:shd w:val="clear" w:color="auto" w:fill="F0F4F8"/>
          </w:tcPr>
          <w:p>
            <w:pPr>
              <w:jc w:val="center"/>
            </w:pPr>
            <w:r>
              <w:rPr>
                <w:sz w:val="18"/>
              </w:rPr>
              <w:t>131.44</w:t>
            </w:r>
          </w:p>
        </w:tc>
        <w:tc>
          <w:tcPr>
            <w:tcW w:type="dxa" w:w="1568"/>
            <w:shd w:val="clear" w:color="auto" w:fill="F0F4F8"/>
          </w:tcPr>
          <w:p>
            <w:pPr>
              <w:jc w:val="center"/>
            </w:pPr>
            <w:r>
              <w:rPr>
                <w:sz w:val="18"/>
              </w:rPr>
              <w:t>~135.2</w:t>
            </w:r>
          </w:p>
        </w:tc>
        <w:tc>
          <w:tcPr>
            <w:tcW w:type="dxa" w:w="1568"/>
            <w:shd w:val="clear" w:color="auto" w:fill="F0F4F8"/>
          </w:tcPr>
          <w:p>
            <w:pPr>
              <w:jc w:val="center"/>
            </w:pPr>
            <w:r>
              <w:rPr>
                <w:sz w:val="18"/>
              </w:rPr>
              <w:t>~139.0</w:t>
            </w:r>
          </w:p>
        </w:tc>
      </w:tr>
      <w:tr>
        <w:tc>
          <w:tcPr>
            <w:tcW w:type="dxa" w:w="1568"/>
            <w:shd w:val="clear" w:color="auto" w:fill="FFFFFF"/>
          </w:tcPr>
          <w:p>
            <w:pPr>
              <w:jc w:val="left"/>
            </w:pPr>
            <w:r>
              <w:rPr>
                <w:sz w:val="18"/>
              </w:rPr>
              <w:t>Revenue Growth (%)</w:t>
            </w:r>
          </w:p>
        </w:tc>
        <w:tc>
          <w:tcPr>
            <w:tcW w:type="dxa" w:w="1568"/>
            <w:shd w:val="clear" w:color="auto" w:fill="FFFFFF"/>
          </w:tcPr>
          <w:p>
            <w:pPr>
              <w:jc w:val="center"/>
            </w:pPr>
            <w:r>
              <w:rPr>
                <w:sz w:val="18"/>
              </w:rPr>
              <w:t>-8.5</w:t>
            </w:r>
          </w:p>
        </w:tc>
        <w:tc>
          <w:tcPr>
            <w:tcW w:type="dxa" w:w="1568"/>
            <w:shd w:val="clear" w:color="auto" w:fill="FFFFFF"/>
          </w:tcPr>
          <w:p>
            <w:pPr>
              <w:jc w:val="center"/>
            </w:pPr>
            <w:r>
              <w:rPr>
                <w:sz w:val="18"/>
              </w:rPr>
              <w:t>-10.9</w:t>
            </w:r>
          </w:p>
        </w:tc>
        <w:tc>
          <w:tcPr>
            <w:tcW w:type="dxa" w:w="1568"/>
            <w:shd w:val="clear" w:color="auto" w:fill="FFFFFF"/>
          </w:tcPr>
          <w:p>
            <w:pPr>
              <w:jc w:val="center"/>
            </w:pPr>
            <w:r>
              <w:rPr>
                <w:sz w:val="18"/>
              </w:rPr>
              <w:t>-10.4</w:t>
            </w:r>
          </w:p>
        </w:tc>
        <w:tc>
          <w:tcPr>
            <w:tcW w:type="dxa" w:w="1568"/>
            <w:shd w:val="clear" w:color="auto" w:fill="FFFFFF"/>
          </w:tcPr>
          <w:p>
            <w:pPr>
              <w:jc w:val="center"/>
            </w:pPr>
            <w:r>
              <w:rPr>
                <w:sz w:val="18"/>
              </w:rPr>
              <w:t>~+2.9</w:t>
            </w:r>
          </w:p>
        </w:tc>
        <w:tc>
          <w:tcPr>
            <w:tcW w:type="dxa" w:w="1568"/>
            <w:shd w:val="clear" w:color="auto" w:fill="FFFFFF"/>
          </w:tcPr>
          <w:p>
            <w:pPr>
              <w:jc w:val="center"/>
            </w:pPr>
            <w:r>
              <w:rPr>
                <w:sz w:val="18"/>
              </w:rPr>
              <w:t>~+2.8</w:t>
            </w:r>
          </w:p>
        </w:tc>
      </w:tr>
      <w:tr>
        <w:tc>
          <w:tcPr>
            <w:tcW w:type="dxa" w:w="1568"/>
            <w:shd w:val="clear" w:color="auto" w:fill="F0F4F8"/>
          </w:tcPr>
          <w:p>
            <w:pPr>
              <w:jc w:val="left"/>
            </w:pPr>
            <w:r>
              <w:rPr>
                <w:sz w:val="18"/>
              </w:rPr>
              <w:t>Net Profit (RMB B)</w:t>
            </w:r>
          </w:p>
        </w:tc>
        <w:tc>
          <w:tcPr>
            <w:tcW w:type="dxa" w:w="1568"/>
            <w:shd w:val="clear" w:color="auto" w:fill="F0F4F8"/>
          </w:tcPr>
          <w:p>
            <w:pPr>
              <w:jc w:val="center"/>
            </w:pPr>
            <w:r>
              <w:rPr>
                <w:sz w:val="18"/>
              </w:rPr>
              <w:t>46.46</w:t>
            </w:r>
          </w:p>
        </w:tc>
        <w:tc>
          <w:tcPr>
            <w:tcW w:type="dxa" w:w="1568"/>
            <w:shd w:val="clear" w:color="auto" w:fill="F0F4F8"/>
          </w:tcPr>
          <w:p>
            <w:pPr>
              <w:jc w:val="center"/>
            </w:pPr>
            <w:r>
              <w:rPr>
                <w:sz w:val="18"/>
              </w:rPr>
              <w:t>44.51</w:t>
            </w:r>
          </w:p>
        </w:tc>
        <w:tc>
          <w:tcPr>
            <w:tcW w:type="dxa" w:w="1568"/>
            <w:shd w:val="clear" w:color="auto" w:fill="F0F4F8"/>
          </w:tcPr>
          <w:p>
            <w:pPr>
              <w:jc w:val="center"/>
            </w:pPr>
            <w:r>
              <w:rPr>
                <w:sz w:val="18"/>
              </w:rPr>
              <w:t>42.63</w:t>
            </w:r>
          </w:p>
        </w:tc>
        <w:tc>
          <w:tcPr>
            <w:tcW w:type="dxa" w:w="1568"/>
            <w:shd w:val="clear" w:color="auto" w:fill="F0F4F8"/>
          </w:tcPr>
          <w:p>
            <w:pPr>
              <w:jc w:val="center"/>
            </w:pPr>
            <w:r>
              <w:rPr>
                <w:sz w:val="18"/>
              </w:rPr>
              <w:t>~43.36</w:t>
            </w:r>
          </w:p>
        </w:tc>
        <w:tc>
          <w:tcPr>
            <w:tcW w:type="dxa" w:w="1568"/>
            <w:shd w:val="clear" w:color="auto" w:fill="F0F4F8"/>
          </w:tcPr>
          <w:p>
            <w:pPr>
              <w:jc w:val="center"/>
            </w:pPr>
            <w:r>
              <w:rPr>
                <w:sz w:val="18"/>
              </w:rPr>
              <w:t>~44.40</w:t>
            </w:r>
          </w:p>
        </w:tc>
      </w:tr>
      <w:tr>
        <w:tc>
          <w:tcPr>
            <w:tcW w:type="dxa" w:w="1568"/>
            <w:shd w:val="clear" w:color="auto" w:fill="FFFFFF"/>
          </w:tcPr>
          <w:p>
            <w:pPr>
              <w:jc w:val="left"/>
            </w:pPr>
            <w:r>
              <w:rPr>
                <w:sz w:val="18"/>
              </w:rPr>
              <w:t>NP Growth (%)</w:t>
            </w:r>
          </w:p>
        </w:tc>
        <w:tc>
          <w:tcPr>
            <w:tcW w:type="dxa" w:w="1568"/>
            <w:shd w:val="clear" w:color="auto" w:fill="FFFFFF"/>
          </w:tcPr>
          <w:p>
            <w:pPr>
              <w:jc w:val="center"/>
            </w:pPr>
            <w:r>
              <w:rPr>
                <w:sz w:val="18"/>
              </w:rPr>
              <w:t>+2.1</w:t>
            </w:r>
          </w:p>
        </w:tc>
        <w:tc>
          <w:tcPr>
            <w:tcW w:type="dxa" w:w="1568"/>
            <w:shd w:val="clear" w:color="auto" w:fill="FFFFFF"/>
          </w:tcPr>
          <w:p>
            <w:pPr>
              <w:jc w:val="center"/>
            </w:pPr>
            <w:r>
              <w:rPr>
                <w:sz w:val="18"/>
              </w:rPr>
              <w:t>-4.2</w:t>
            </w:r>
          </w:p>
        </w:tc>
        <w:tc>
          <w:tcPr>
            <w:tcW w:type="dxa" w:w="1568"/>
            <w:shd w:val="clear" w:color="auto" w:fill="FFFFFF"/>
          </w:tcPr>
          <w:p>
            <w:pPr>
              <w:jc w:val="center"/>
            </w:pPr>
            <w:r>
              <w:rPr>
                <w:sz w:val="18"/>
              </w:rPr>
              <w:t>-4.2</w:t>
            </w:r>
          </w:p>
        </w:tc>
        <w:tc>
          <w:tcPr>
            <w:tcW w:type="dxa" w:w="1568"/>
            <w:shd w:val="clear" w:color="auto" w:fill="FFFFFF"/>
          </w:tcPr>
          <w:p>
            <w:pPr>
              <w:jc w:val="center"/>
            </w:pPr>
            <w:r>
              <w:rPr>
                <w:sz w:val="18"/>
              </w:rPr>
              <w:t>~+1.7</w:t>
            </w:r>
          </w:p>
        </w:tc>
        <w:tc>
          <w:tcPr>
            <w:tcW w:type="dxa" w:w="1568"/>
            <w:shd w:val="clear" w:color="auto" w:fill="FFFFFF"/>
          </w:tcPr>
          <w:p>
            <w:pPr>
              <w:jc w:val="center"/>
            </w:pPr>
            <w:r>
              <w:rPr>
                <w:sz w:val="18"/>
              </w:rPr>
              <w:t>~+2.4</w:t>
            </w:r>
          </w:p>
        </w:tc>
      </w:tr>
      <w:tr>
        <w:tc>
          <w:tcPr>
            <w:tcW w:type="dxa" w:w="1568"/>
            <w:shd w:val="clear" w:color="auto" w:fill="F0F4F8"/>
          </w:tcPr>
          <w:p>
            <w:pPr>
              <w:jc w:val="left"/>
            </w:pPr>
            <w:r>
              <w:rPr>
                <w:sz w:val="18"/>
              </w:rPr>
              <w:t>EPS (RMB)</w:t>
            </w:r>
          </w:p>
        </w:tc>
        <w:tc>
          <w:tcPr>
            <w:tcW w:type="dxa" w:w="1568"/>
            <w:shd w:val="clear" w:color="auto" w:fill="F0F4F8"/>
          </w:tcPr>
          <w:p>
            <w:pPr>
              <w:jc w:val="center"/>
            </w:pPr>
            <w:r>
              <w:rPr>
                <w:sz w:val="18"/>
              </w:rPr>
              <w:t>2.25</w:t>
            </w:r>
          </w:p>
        </w:tc>
        <w:tc>
          <w:tcPr>
            <w:tcW w:type="dxa" w:w="1568"/>
            <w:shd w:val="clear" w:color="auto" w:fill="F0F4F8"/>
          </w:tcPr>
          <w:p>
            <w:pPr>
              <w:jc w:val="center"/>
            </w:pPr>
            <w:r>
              <w:rPr>
                <w:sz w:val="18"/>
              </w:rPr>
              <w:t>2.16</w:t>
            </w:r>
          </w:p>
        </w:tc>
        <w:tc>
          <w:tcPr>
            <w:tcW w:type="dxa" w:w="1568"/>
            <w:shd w:val="clear" w:color="auto" w:fill="F0F4F8"/>
          </w:tcPr>
          <w:p>
            <w:pPr>
              <w:jc w:val="center"/>
            </w:pPr>
            <w:r>
              <w:rPr>
                <w:sz w:val="18"/>
              </w:rPr>
              <w:t>2.07</w:t>
            </w:r>
          </w:p>
        </w:tc>
        <w:tc>
          <w:tcPr>
            <w:tcW w:type="dxa" w:w="1568"/>
            <w:shd w:val="clear" w:color="auto" w:fill="F0F4F8"/>
          </w:tcPr>
          <w:p>
            <w:pPr>
              <w:jc w:val="center"/>
            </w:pPr>
            <w:r>
              <w:rPr>
                <w:sz w:val="18"/>
              </w:rPr>
              <w:t>~2.19</w:t>
            </w:r>
          </w:p>
        </w:tc>
        <w:tc>
          <w:tcPr>
            <w:tcW w:type="dxa" w:w="1568"/>
            <w:shd w:val="clear" w:color="auto" w:fill="F0F4F8"/>
          </w:tcPr>
          <w:p>
            <w:pPr>
              <w:jc w:val="center"/>
            </w:pPr>
            <w:r>
              <w:rPr>
                <w:sz w:val="18"/>
              </w:rPr>
              <w:t>~2.26</w:t>
            </w:r>
          </w:p>
        </w:tc>
      </w:tr>
      <w:tr>
        <w:tc>
          <w:tcPr>
            <w:tcW w:type="dxa" w:w="1568"/>
            <w:shd w:val="clear" w:color="auto" w:fill="FFFFFF"/>
          </w:tcPr>
          <w:p>
            <w:pPr>
              <w:jc w:val="left"/>
            </w:pPr>
            <w:r>
              <w:rPr>
                <w:sz w:val="18"/>
              </w:rPr>
              <w:t>BVPS (RMB)</w:t>
            </w:r>
          </w:p>
        </w:tc>
        <w:tc>
          <w:tcPr>
            <w:tcW w:type="dxa" w:w="1568"/>
            <w:shd w:val="clear" w:color="auto" w:fill="FFFFFF"/>
          </w:tcPr>
          <w:p>
            <w:pPr>
              <w:jc w:val="center"/>
            </w:pPr>
            <w:r>
              <w:rPr>
                <w:sz w:val="18"/>
              </w:rPr>
              <w:t>~21.1</w:t>
            </w:r>
          </w:p>
        </w:tc>
        <w:tc>
          <w:tcPr>
            <w:tcW w:type="dxa" w:w="1568"/>
            <w:shd w:val="clear" w:color="auto" w:fill="FFFFFF"/>
          </w:tcPr>
          <w:p>
            <w:pPr>
              <w:jc w:val="center"/>
            </w:pPr>
            <w:r>
              <w:rPr>
                <w:sz w:val="18"/>
              </w:rPr>
              <w:t>~22.4</w:t>
            </w:r>
          </w:p>
        </w:tc>
        <w:tc>
          <w:tcPr>
            <w:tcW w:type="dxa" w:w="1568"/>
            <w:shd w:val="clear" w:color="auto" w:fill="FFFFFF"/>
          </w:tcPr>
          <w:p>
            <w:pPr>
              <w:jc w:val="center"/>
            </w:pPr>
            <w:r>
              <w:rPr>
                <w:sz w:val="18"/>
              </w:rPr>
              <w:t>~24.0</w:t>
            </w:r>
          </w:p>
        </w:tc>
        <w:tc>
          <w:tcPr>
            <w:tcW w:type="dxa" w:w="1568"/>
            <w:shd w:val="clear" w:color="auto" w:fill="FFFFFF"/>
          </w:tcPr>
          <w:p>
            <w:pPr>
              <w:jc w:val="center"/>
            </w:pPr>
            <w:r>
              <w:rPr>
                <w:sz w:val="18"/>
              </w:rPr>
              <w:t>~24.9</w:t>
            </w:r>
          </w:p>
        </w:tc>
        <w:tc>
          <w:tcPr>
            <w:tcW w:type="dxa" w:w="1568"/>
            <w:shd w:val="clear" w:color="auto" w:fill="FFFFFF"/>
          </w:tcPr>
          <w:p>
            <w:pPr>
              <w:jc w:val="center"/>
            </w:pPr>
            <w:r>
              <w:rPr>
                <w:sz w:val="18"/>
              </w:rPr>
              <w:t>~26.0</w:t>
            </w:r>
          </w:p>
        </w:tc>
      </w:tr>
      <w:tr>
        <w:tc>
          <w:tcPr>
            <w:tcW w:type="dxa" w:w="1568"/>
            <w:shd w:val="clear" w:color="auto" w:fill="F0F4F8"/>
          </w:tcPr>
          <w:p>
            <w:pPr>
              <w:jc w:val="left"/>
            </w:pPr>
            <w:r>
              <w:rPr>
                <w:sz w:val="18"/>
              </w:rPr>
              <w:t>P/B at RMB 10.87 (x)</w:t>
            </w:r>
          </w:p>
        </w:tc>
        <w:tc>
          <w:tcPr>
            <w:tcW w:type="dxa" w:w="1568"/>
            <w:shd w:val="clear" w:color="auto" w:fill="F0F4F8"/>
          </w:tcPr>
          <w:p>
            <w:pPr>
              <w:jc w:val="center"/>
            </w:pPr>
            <w:r>
              <w:rPr>
                <w:sz w:val="18"/>
              </w:rPr>
              <w:t>0.52x</w:t>
            </w:r>
          </w:p>
        </w:tc>
        <w:tc>
          <w:tcPr>
            <w:tcW w:type="dxa" w:w="1568"/>
            <w:shd w:val="clear" w:color="auto" w:fill="F0F4F8"/>
          </w:tcPr>
          <w:p>
            <w:pPr>
              <w:jc w:val="center"/>
            </w:pPr>
            <w:r>
              <w:rPr>
                <w:sz w:val="18"/>
              </w:rPr>
              <w:t>0.49x</w:t>
            </w:r>
          </w:p>
        </w:tc>
        <w:tc>
          <w:tcPr>
            <w:tcW w:type="dxa" w:w="1568"/>
            <w:shd w:val="clear" w:color="auto" w:fill="F0F4F8"/>
          </w:tcPr>
          <w:p>
            <w:pPr>
              <w:jc w:val="center"/>
            </w:pPr>
            <w:r>
              <w:rPr>
                <w:sz w:val="18"/>
              </w:rPr>
              <w:t>0.45x</w:t>
            </w:r>
          </w:p>
        </w:tc>
        <w:tc>
          <w:tcPr>
            <w:tcW w:type="dxa" w:w="1568"/>
            <w:shd w:val="clear" w:color="auto" w:fill="F0F4F8"/>
          </w:tcPr>
          <w:p>
            <w:pPr>
              <w:jc w:val="center"/>
            </w:pPr>
            <w:r>
              <w:rPr>
                <w:sz w:val="18"/>
              </w:rPr>
              <w:t>0.44x</w:t>
            </w:r>
          </w:p>
        </w:tc>
        <w:tc>
          <w:tcPr>
            <w:tcW w:type="dxa" w:w="1568"/>
            <w:shd w:val="clear" w:color="auto" w:fill="F0F4F8"/>
          </w:tcPr>
          <w:p>
            <w:pPr>
              <w:jc w:val="center"/>
            </w:pPr>
            <w:r>
              <w:rPr>
                <w:sz w:val="18"/>
              </w:rPr>
              <w:t>0.42x</w:t>
            </w:r>
          </w:p>
        </w:tc>
      </w:tr>
      <w:tr>
        <w:tc>
          <w:tcPr>
            <w:tcW w:type="dxa" w:w="1568"/>
            <w:shd w:val="clear" w:color="auto" w:fill="FFFFFF"/>
          </w:tcPr>
          <w:p>
            <w:pPr>
              <w:jc w:val="left"/>
            </w:pPr>
            <w:r>
              <w:rPr>
                <w:sz w:val="18"/>
              </w:rPr>
              <w:t>P/B at PT RMB 14.00 (x)</w:t>
            </w:r>
          </w:p>
        </w:tc>
        <w:tc>
          <w:tcPr>
            <w:tcW w:type="dxa" w:w="1568"/>
            <w:shd w:val="clear" w:color="auto" w:fill="FFFFFF"/>
          </w:tcPr>
          <w:p>
            <w:pPr>
              <w:jc w:val="center"/>
            </w:pPr>
            <w:r>
              <w:rPr>
                <w:sz w:val="18"/>
              </w:rPr>
              <w:t>0.66x</w:t>
            </w:r>
          </w:p>
        </w:tc>
        <w:tc>
          <w:tcPr>
            <w:tcW w:type="dxa" w:w="1568"/>
            <w:shd w:val="clear" w:color="auto" w:fill="FFFFFF"/>
          </w:tcPr>
          <w:p>
            <w:pPr>
              <w:jc w:val="center"/>
            </w:pPr>
            <w:r>
              <w:rPr>
                <w:sz w:val="18"/>
              </w:rPr>
              <w:t>0.63x</w:t>
            </w:r>
          </w:p>
        </w:tc>
        <w:tc>
          <w:tcPr>
            <w:tcW w:type="dxa" w:w="1568"/>
            <w:shd w:val="clear" w:color="auto" w:fill="FFFFFF"/>
          </w:tcPr>
          <w:p>
            <w:pPr>
              <w:jc w:val="center"/>
            </w:pPr>
            <w:r>
              <w:rPr>
                <w:sz w:val="18"/>
              </w:rPr>
              <w:t>0.58x</w:t>
            </w:r>
          </w:p>
        </w:tc>
        <w:tc>
          <w:tcPr>
            <w:tcW w:type="dxa" w:w="1568"/>
            <w:shd w:val="clear" w:color="auto" w:fill="FFFFFF"/>
          </w:tcPr>
          <w:p>
            <w:pPr>
              <w:jc w:val="center"/>
            </w:pPr>
            <w:r>
              <w:rPr>
                <w:sz w:val="18"/>
              </w:rPr>
              <w:t>0.56x</w:t>
            </w:r>
          </w:p>
        </w:tc>
        <w:tc>
          <w:tcPr>
            <w:tcW w:type="dxa" w:w="1568"/>
            <w:shd w:val="clear" w:color="auto" w:fill="FFFFFF"/>
          </w:tcPr>
          <w:p>
            <w:pPr>
              <w:jc w:val="center"/>
            </w:pPr>
            <w:r>
              <w:rPr>
                <w:sz w:val="18"/>
              </w:rPr>
              <w:t>0.54x</w:t>
            </w:r>
          </w:p>
        </w:tc>
      </w:tr>
      <w:tr>
        <w:tc>
          <w:tcPr>
            <w:tcW w:type="dxa" w:w="1568"/>
            <w:shd w:val="clear" w:color="auto" w:fill="F0F4F8"/>
          </w:tcPr>
          <w:p>
            <w:pPr>
              <w:jc w:val="left"/>
            </w:pPr>
            <w:r>
              <w:rPr>
                <w:sz w:val="18"/>
              </w:rPr>
              <w:t>P/E at current price (x)</w:t>
            </w:r>
          </w:p>
        </w:tc>
        <w:tc>
          <w:tcPr>
            <w:tcW w:type="dxa" w:w="1568"/>
            <w:shd w:val="clear" w:color="auto" w:fill="F0F4F8"/>
          </w:tcPr>
          <w:p>
            <w:pPr>
              <w:jc w:val="center"/>
            </w:pPr>
            <w:r>
              <w:rPr>
                <w:sz w:val="18"/>
              </w:rPr>
              <w:t>4.83x</w:t>
            </w:r>
          </w:p>
        </w:tc>
        <w:tc>
          <w:tcPr>
            <w:tcW w:type="dxa" w:w="1568"/>
            <w:shd w:val="clear" w:color="auto" w:fill="F0F4F8"/>
          </w:tcPr>
          <w:p>
            <w:pPr>
              <w:jc w:val="center"/>
            </w:pPr>
            <w:r>
              <w:rPr>
                <w:sz w:val="18"/>
              </w:rPr>
              <w:t>5.03x</w:t>
            </w:r>
          </w:p>
        </w:tc>
        <w:tc>
          <w:tcPr>
            <w:tcW w:type="dxa" w:w="1568"/>
            <w:shd w:val="clear" w:color="auto" w:fill="F0F4F8"/>
          </w:tcPr>
          <w:p>
            <w:pPr>
              <w:jc w:val="center"/>
            </w:pPr>
            <w:r>
              <w:rPr>
                <w:sz w:val="18"/>
              </w:rPr>
              <w:t>5.25x</w:t>
            </w:r>
          </w:p>
        </w:tc>
        <w:tc>
          <w:tcPr>
            <w:tcW w:type="dxa" w:w="1568"/>
            <w:shd w:val="clear" w:color="auto" w:fill="F0F4F8"/>
          </w:tcPr>
          <w:p>
            <w:pPr>
              <w:jc w:val="center"/>
            </w:pPr>
            <w:r>
              <w:rPr>
                <w:sz w:val="18"/>
              </w:rPr>
              <w:t>4.96x</w:t>
            </w:r>
          </w:p>
        </w:tc>
        <w:tc>
          <w:tcPr>
            <w:tcW w:type="dxa" w:w="1568"/>
            <w:shd w:val="clear" w:color="auto" w:fill="F0F4F8"/>
          </w:tcPr>
          <w:p>
            <w:pPr>
              <w:jc w:val="center"/>
            </w:pPr>
            <w:r>
              <w:rPr>
                <w:sz w:val="18"/>
              </w:rPr>
              <w:t>4.81x</w:t>
            </w:r>
          </w:p>
        </w:tc>
      </w:tr>
      <w:tr>
        <w:tc>
          <w:tcPr>
            <w:tcW w:type="dxa" w:w="1568"/>
            <w:shd w:val="clear" w:color="auto" w:fill="FFFFFF"/>
          </w:tcPr>
          <w:p>
            <w:pPr>
              <w:jc w:val="left"/>
            </w:pPr>
            <w:r>
              <w:rPr>
                <w:sz w:val="18"/>
              </w:rPr>
              <w:t>Dividend Yield (%) at current</w:t>
            </w:r>
          </w:p>
        </w:tc>
        <w:tc>
          <w:tcPr>
            <w:tcW w:type="dxa" w:w="1568"/>
            <w:shd w:val="clear" w:color="auto" w:fill="FFFFFF"/>
          </w:tcPr>
          <w:p>
            <w:pPr>
              <w:jc w:val="center"/>
            </w:pPr>
            <w:r>
              <w:rPr>
                <w:sz w:val="18"/>
              </w:rPr>
              <w:t>~5.2%</w:t>
            </w:r>
          </w:p>
        </w:tc>
        <w:tc>
          <w:tcPr>
            <w:tcW w:type="dxa" w:w="1568"/>
            <w:shd w:val="clear" w:color="auto" w:fill="FFFFFF"/>
          </w:tcPr>
          <w:p>
            <w:pPr>
              <w:jc w:val="center"/>
            </w:pPr>
            <w:r>
              <w:rPr>
                <w:sz w:val="18"/>
              </w:rPr>
              <w:t>~5.1%</w:t>
            </w:r>
          </w:p>
        </w:tc>
        <w:tc>
          <w:tcPr>
            <w:tcW w:type="dxa" w:w="1568"/>
            <w:shd w:val="clear" w:color="auto" w:fill="FFFFFF"/>
          </w:tcPr>
          <w:p>
            <w:pPr>
              <w:jc w:val="center"/>
            </w:pPr>
            <w:r>
              <w:rPr>
                <w:sz w:val="18"/>
              </w:rPr>
              <w:t>~5.5%</w:t>
            </w:r>
          </w:p>
        </w:tc>
        <w:tc>
          <w:tcPr>
            <w:tcW w:type="dxa" w:w="1568"/>
            <w:shd w:val="clear" w:color="auto" w:fill="FFFFFF"/>
          </w:tcPr>
          <w:p>
            <w:pPr>
              <w:jc w:val="center"/>
            </w:pPr>
            <w:r>
              <w:rPr>
                <w:sz w:val="18"/>
              </w:rPr>
              <w:t>~5.5%</w:t>
            </w:r>
          </w:p>
        </w:tc>
        <w:tc>
          <w:tcPr>
            <w:tcW w:type="dxa" w:w="1568"/>
            <w:shd w:val="clear" w:color="auto" w:fill="FFFFFF"/>
          </w:tcPr>
          <w:p>
            <w:pPr>
              <w:jc w:val="center"/>
            </w:pPr>
            <w:r>
              <w:rPr>
                <w:sz w:val="18"/>
              </w:rPr>
              <w:t>~5.7%</w:t>
            </w:r>
          </w:p>
        </w:tc>
      </w:tr>
    </w:tbl>
    <w:p>
      <w:pPr>
        <w:spacing w:before="40" w:after="60"/>
      </w:pPr>
      <w:r>
        <w:rPr>
          <w:rFonts w:ascii="Times New Roman" w:hAnsi="Times New Roman"/>
          <w:b w:val="0"/>
          <w:sz w:val="20"/>
        </w:rPr>
        <w:t>Note: FY2026E/2027E are Wind consensus estimates. BVPS estimates based on projected retained earnings.</w:t>
      </w:r>
    </w:p>
    <w:p>
      <w:pPr>
        <w:jc w:val="center"/>
      </w:pPr>
      <w:r>
        <w:drawing>
          <wp:inline xmlns:a="http://schemas.openxmlformats.org/drawingml/2006/main" xmlns:pic="http://schemas.openxmlformats.org/drawingml/2006/picture">
            <wp:extent cx="5486400" cy="3378446"/>
            <wp:docPr id="9" name="Picture 9"/>
            <wp:cNvGraphicFramePr>
              <a:graphicFrameLocks noChangeAspect="1"/>
            </wp:cNvGraphicFramePr>
            <a:graphic>
              <a:graphicData uri="http://schemas.openxmlformats.org/drawingml/2006/picture">
                <pic:pic>
                  <pic:nvPicPr>
                    <pic:cNvPr id="0" name="pab_chart8_annual_comparison.png"/>
                    <pic:cNvPicPr/>
                  </pic:nvPicPr>
                  <pic:blipFill>
                    <a:blip r:embed="rId17"/>
                    <a:stretch>
                      <a:fillRect/>
                    </a:stretch>
                  </pic:blipFill>
                  <pic:spPr>
                    <a:xfrm>
                      <a:off x="0" y="0"/>
                      <a:ext cx="5486400" cy="3378446"/>
                    </a:xfrm>
                    <a:prstGeom prst="rect"/>
                  </pic:spPr>
                </pic:pic>
              </a:graphicData>
            </a:graphic>
          </wp:inline>
        </w:drawing>
      </w:r>
    </w:p>
    <w:p>
      <w:pPr>
        <w:spacing w:after="160"/>
        <w:jc w:val="center"/>
      </w:pPr>
      <w:r>
        <w:rPr>
          <w:i/>
          <w:color w:val="8B8B8B"/>
          <w:sz w:val="17"/>
        </w:rPr>
        <w:t>Exhibit 9: Annual Revenue &amp; Net Profit (FY2022–FY2027E)</w:t>
      </w:r>
    </w:p>
    <w:p>
      <w:pPr>
        <w:jc w:val="center"/>
      </w:pPr>
      <w:r>
        <w:drawing>
          <wp:inline xmlns:a="http://schemas.openxmlformats.org/drawingml/2006/main" xmlns:pic="http://schemas.openxmlformats.org/drawingml/2006/picture">
            <wp:extent cx="5486400" cy="3378467"/>
            <wp:docPr id="10" name="Picture 10"/>
            <wp:cNvGraphicFramePr>
              <a:graphicFrameLocks noChangeAspect="1"/>
            </wp:cNvGraphicFramePr>
            <a:graphic>
              <a:graphicData uri="http://schemas.openxmlformats.org/drawingml/2006/picture">
                <pic:pic>
                  <pic:nvPicPr>
                    <pic:cNvPr id="0" name="pab_chart9_broker_targets.png"/>
                    <pic:cNvPicPr/>
                  </pic:nvPicPr>
                  <pic:blipFill>
                    <a:blip r:embed="rId18"/>
                    <a:stretch>
                      <a:fillRect/>
                    </a:stretch>
                  </pic:blipFill>
                  <pic:spPr>
                    <a:xfrm>
                      <a:off x="0" y="0"/>
                      <a:ext cx="5486400" cy="3378467"/>
                    </a:xfrm>
                    <a:prstGeom prst="rect"/>
                  </pic:spPr>
                </pic:pic>
              </a:graphicData>
            </a:graphic>
          </wp:inline>
        </w:drawing>
      </w:r>
    </w:p>
    <w:p>
      <w:pPr>
        <w:spacing w:after="160"/>
        <w:jc w:val="center"/>
      </w:pPr>
      <w:r>
        <w:rPr>
          <w:i/>
          <w:color w:val="8B8B8B"/>
          <w:sz w:val="17"/>
        </w:rPr>
        <w:t>Exhibit 10: Broker FY2026E EPS Estimates &amp; Price Targets</w:t>
      </w:r>
    </w:p>
    <w:p>
      <w:pPr>
        <w:pBdr>
          <w:bottom w:val="single" w:sz="4" w:space="1" w:color="CCCCCC"/>
        </w:pBdr>
      </w:pPr>
    </w:p>
    <w:p>
      <w:pPr>
        <w:keepNext/>
        <w:spacing w:before="280" w:after="80"/>
        <w:pBdr>
          <w:bottom w:val="single" w:sz="6" w:space="1" w:color="003366"/>
        </w:pBdr>
      </w:pPr>
      <w:r>
        <w:rPr>
          <w:b/>
          <w:color w:val="003366"/>
          <w:sz w:val="24"/>
        </w:rPr>
        <w:t>VII. SOURCES &amp; REFERENCES</w:t>
      </w:r>
    </w:p>
    <w:p>
      <w:pPr>
        <w:spacing w:before="40" w:after="60"/>
      </w:pPr>
      <w:r>
        <w:rPr>
          <w:rFonts w:ascii="Times New Roman" w:hAnsi="Times New Roman"/>
          <w:b w:val="0"/>
          <w:sz w:val="20"/>
        </w:rPr>
        <w:t>All data as of April 5, 2026. FY2025 Annual Report officially released March 20, 2026.</w:t>
      </w:r>
    </w:p>
    <w:p>
      <w:pPr>
        <w:pStyle w:val="ListBullet"/>
        <w:spacing w:before="20" w:after="40"/>
      </w:pPr>
      <w:hyperlink r:id="rId19">
        <w:r>
          <w:rPr>
            <w:rStyle w:val="Hyperlink"/>
            <w:color w:val="003366"/>
            <w:u w:val="single"/>
          </w:rPr>
          <w:t>Ping An Bank FY2025 Annual Report Released (Sina Finance, March 20, 2026)</w:t>
        </w:r>
      </w:hyperlink>
    </w:p>
    <w:p>
      <w:pPr>
        <w:pStyle w:val="ListBullet"/>
        <w:spacing w:before="20" w:after="40"/>
      </w:pPr>
      <w:hyperlink r:id="rId20">
        <w:r>
          <w:rPr>
            <w:rStyle w:val="Hyperlink"/>
            <w:color w:val="003366"/>
            <w:u w:val="single"/>
          </w:rPr>
          <w:t>Ping An Bank FY2025 Net Profit RMB 42.63B; Dividend 5.96元/10 shares (Sina Finance)</w:t>
        </w:r>
      </w:hyperlink>
    </w:p>
    <w:p>
      <w:pPr>
        <w:pStyle w:val="ListBullet"/>
        <w:spacing w:before="20" w:after="40"/>
      </w:pPr>
      <w:hyperlink r:id="rId21">
        <w:r>
          <w:rPr>
            <w:rStyle w:val="Hyperlink"/>
            <w:color w:val="003366"/>
            <w:u w:val="single"/>
          </w:rPr>
          <w:t>Ping An Bank FY2025 Annual Report Analyst Review — Galaxy Securities (StockStar, March 24)</w:t>
        </w:r>
      </w:hyperlink>
    </w:p>
    <w:p>
      <w:pPr>
        <w:pStyle w:val="ListBullet"/>
        <w:spacing w:before="20" w:after="40"/>
      </w:pPr>
      <w:hyperlink r:id="rId22">
        <w:r>
          <w:rPr>
            <w:rStyle w:val="Hyperlink"/>
            <w:color w:val="003366"/>
            <w:u w:val="single"/>
          </w:rPr>
          <w:t>Ping An Bank FY2025 Annual Report Deep Dive (Sina Finance, March 31, 2026)</w:t>
        </w:r>
      </w:hyperlink>
    </w:p>
    <w:p>
      <w:pPr>
        <w:pStyle w:val="ListBullet"/>
        <w:spacing w:before="20" w:after="40"/>
      </w:pPr>
      <w:hyperlink r:id="rId23">
        <w:r>
          <w:rPr>
            <w:rStyle w:val="Hyperlink"/>
            <w:color w:val="003366"/>
            <w:u w:val="single"/>
          </w:rPr>
          <w:t>Ping An Bank 2026 Analyst Conference: 'Full Force Return to Growth' (Sina Finance, March 23)</w:t>
        </w:r>
      </w:hyperlink>
    </w:p>
    <w:p>
      <w:pPr>
        <w:pStyle w:val="ListBullet"/>
        <w:spacing w:before="20" w:after="40"/>
      </w:pPr>
      <w:hyperlink r:id="rId24">
        <w:r>
          <w:rPr>
            <w:rStyle w:val="Hyperlink"/>
            <w:color w:val="003366"/>
            <w:u w:val="single"/>
          </w:rPr>
          <w:t>Ping An Bank: Consensus PT RMB 14.25; Valuation at Historical Low (Sina Finance, March 22)</w:t>
        </w:r>
      </w:hyperlink>
    </w:p>
    <w:p>
      <w:pPr>
        <w:pStyle w:val="ListBullet"/>
        <w:spacing w:before="20" w:after="40"/>
      </w:pPr>
      <w:hyperlink r:id="rId25">
        <w:r>
          <w:rPr>
            <w:rStyle w:val="Hyperlink"/>
            <w:color w:val="003366"/>
            <w:u w:val="single"/>
          </w:rPr>
          <w:t>Reading Ping An Bank FY2025 Annual Report: The Most Difficult Period Has Passed (Sina Finance)</w:t>
        </w:r>
      </w:hyperlink>
    </w:p>
    <w:p>
      <w:pPr>
        <w:pStyle w:val="ListBullet"/>
        <w:spacing w:before="20" w:after="40"/>
      </w:pPr>
      <w:hyperlink r:id="rId26">
        <w:r>
          <w:rPr>
            <w:rStyle w:val="Hyperlink"/>
            <w:color w:val="003366"/>
            <w:u w:val="single"/>
          </w:rPr>
          <w:t>Ping An Bank 2025: First Step Out of the Deep Water Zone (Sina Finance, March 25, 2026)</w:t>
        </w:r>
      </w:hyperlink>
    </w:p>
    <w:p>
      <w:pPr>
        <w:pStyle w:val="ListBullet"/>
        <w:spacing w:before="20" w:after="40"/>
      </w:pPr>
      <w:hyperlink r:id="rId27">
        <w:r>
          <w:rPr>
            <w:rStyle w:val="Hyperlink"/>
            <w:color w:val="003366"/>
            <w:u w:val="single"/>
          </w:rPr>
          <w:t>21st Century Business Herald: Annual Report — Dividend RMB 10B, NIM -9bps (March 20, 2026)</w:t>
        </w:r>
      </w:hyperlink>
    </w:p>
    <w:p>
      <w:pPr>
        <w:pStyle w:val="ListBullet"/>
        <w:spacing w:before="20" w:after="40"/>
      </w:pPr>
      <w:hyperlink r:id="rId28">
        <w:r>
          <w:rPr>
            <w:rStyle w:val="Hyperlink"/>
            <w:color w:val="003366"/>
            <w:u w:val="single"/>
          </w:rPr>
          <w:t>Ping An Bank H1 2025 Net Profit -3.9%; NIM 1.80% (Wall Street CN, August 2025)</w:t>
        </w:r>
      </w:hyperlink>
    </w:p>
    <w:p>
      <w:pPr>
        <w:pStyle w:val="ListBullet"/>
        <w:spacing w:before="20" w:after="40"/>
      </w:pPr>
      <w:hyperlink r:id="rId29">
        <w:r>
          <w:rPr>
            <w:rStyle w:val="Hyperlink"/>
            <w:color w:val="003366"/>
            <w:u w:val="single"/>
          </w:rPr>
          <w:t>Wind / Tonghuashun F10: FY2026E Consensus Estimates (000001.SZ)</w:t>
        </w:r>
      </w:hyperlink>
    </w:p>
    <w:p>
      <w:pPr>
        <w:pStyle w:val="ListBullet"/>
        <w:spacing w:before="20" w:after="40"/>
      </w:pPr>
      <w:hyperlink r:id="rId30">
        <w:r>
          <w:rPr>
            <w:rStyle w:val="Hyperlink"/>
            <w:color w:val="003366"/>
            <w:u w:val="single"/>
          </w:rPr>
          <w:t>Retail Transformation 30% Remaining: Ping An Bank 2026 Recovery Methodology Forming (STCN)</w:t>
        </w:r>
      </w:hyperlink>
    </w:p>
    <w:p/>
    <w:p>
      <w:pPr>
        <w:jc w:val="both"/>
      </w:pPr>
      <w:r>
        <w:rPr>
          <w:i/>
          <w:color w:val="8B8B8B"/>
          <w:sz w:val="16"/>
        </w:rPr>
        <w:t>DISCLAIMER: This report is for informational purposes only and does not constitute investment advice. All financial data sourced from public company filings and consensus estimates. Market data via yfinance as of report date. FY2026E/2027E figures are analyst consensus estimates.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hyperlink" Target="https://finance.sina.com.cn/jryx/bank/2026-03-20/doc-inhrrzut6659056.shtml" TargetMode="External"/><Relationship Id="rId20" Type="http://schemas.openxmlformats.org/officeDocument/2006/relationships/hyperlink" Target="https://finance.sina.com.cn/roll/2026-03-20/doc-inhrshar6590029.shtml" TargetMode="External"/><Relationship Id="rId21" Type="http://schemas.openxmlformats.org/officeDocument/2006/relationships/hyperlink" Target="https://stock.stockstar.com/JC2026032400000016.shtml" TargetMode="External"/><Relationship Id="rId22" Type="http://schemas.openxmlformats.org/officeDocument/2006/relationships/hyperlink" Target="https://finance.sina.com.cn/wm/2026-03-31/doc-inhsxkrq2161128.shtml" TargetMode="External"/><Relationship Id="rId23" Type="http://schemas.openxmlformats.org/officeDocument/2006/relationships/hyperlink" Target="https://finance.sina.com.cn/roll/2026-03-23/doc-inhryxfp3966939.shtml" TargetMode="External"/><Relationship Id="rId24" Type="http://schemas.openxmlformats.org/officeDocument/2006/relationships/hyperlink" Target="https://finance.sina.com.cn/roll/2026-03-22/doc-inhrvxax5011786.shtml" TargetMode="External"/><Relationship Id="rId25" Type="http://schemas.openxmlformats.org/officeDocument/2006/relationships/hyperlink" Target="https://finance.sina.com.cn/stock/bxjj/2026-03-25/doc-inhsecsi9934000.shtml" TargetMode="External"/><Relationship Id="rId26" Type="http://schemas.openxmlformats.org/officeDocument/2006/relationships/hyperlink" Target="https://finance.sina.com.cn/wm/2026-03-25/doc-inhsfmms3417265.shtml" TargetMode="External"/><Relationship Id="rId27" Type="http://schemas.openxmlformats.org/officeDocument/2006/relationships/hyperlink" Target="https://www.21jingji.com/article/20260320/herald/5ee8bf7a9198ff98e638898d5820cc17.html" TargetMode="External"/><Relationship Id="rId28" Type="http://schemas.openxmlformats.org/officeDocument/2006/relationships/hyperlink" Target="https://wallstreetcn.com/articles/3753917" TargetMode="External"/><Relationship Id="rId29" Type="http://schemas.openxmlformats.org/officeDocument/2006/relationships/hyperlink" Target="https://basic.10jqka.com.cn/000001/worth.html" TargetMode="External"/><Relationship Id="rId30" Type="http://schemas.openxmlformats.org/officeDocument/2006/relationships/hyperlink" Target="https://www.stcn.com/article/detail/3693988.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