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Times New Roman" w:hAnsi="Times New Roman" w:eastAsia="黑体"/>
          <w:b/>
          <w:i w:val="0"/>
          <w:color w:val="1F6FEB"/>
          <w:sz w:val="18"/>
        </w:rPr>
        <w:t>股票研究  |  业绩更新</w:t>
      </w:r>
    </w:p>
    <w:p>
      <w:pPr>
        <w:spacing w:after="20" w:before="0"/>
      </w:pPr>
      <w:r>
        <w:rPr>
          <w:rFonts w:ascii="Times New Roman" w:hAnsi="Times New Roman" w:eastAsia="黑体"/>
          <w:b/>
          <w:i w:val="0"/>
          <w:color w:val="0B2545"/>
          <w:sz w:val="36"/>
        </w:rPr>
        <w:t>Nebius Group N.V.（纳斯达克：NBIS）</w:t>
      </w:r>
    </w:p>
    <w:p>
      <w:pPr>
        <w:spacing w:after="80" w:before="0"/>
      </w:pPr>
      <w:r>
        <w:rPr>
          <w:rFonts w:ascii="Times New Roman" w:hAnsi="Times New Roman" w:eastAsia="黑体"/>
          <w:b/>
          <w:i w:val="0"/>
          <w:color w:val="0B2545"/>
          <w:sz w:val="25"/>
        </w:rPr>
        <w:t>2026 财年第一季度业绩更新 —— “我们建多少，就卖多少”</w:t>
      </w:r>
    </w:p>
    <w:p>
      <w:pPr>
        <w:spacing w:after="160"/>
      </w:pPr>
      <w:r>
        <w:rPr>
          <w:rFonts w:ascii="Times New Roman" w:hAnsi="Times New Roman" w:eastAsia="宋体"/>
          <w:b w:val="0"/>
          <w:i w:val="0"/>
          <w:color w:val="666666"/>
          <w:sz w:val="19"/>
        </w:rPr>
        <w:t xml:space="preserve">报告日期：2026 年 6 月 18 日　|　</w:t>
      </w:r>
      <w:r>
        <w:rPr>
          <w:rFonts w:ascii="Times New Roman" w:hAnsi="Times New Roman" w:eastAsia="宋体"/>
          <w:b/>
          <w:i w:val="0"/>
          <w:color w:val="2BA84A"/>
          <w:sz w:val="19"/>
        </w:rPr>
        <w:t xml:space="preserve">评级：买入（BUY）　|　</w:t>
      </w:r>
      <w:r>
        <w:rPr>
          <w:rFonts w:ascii="Times New Roman" w:hAnsi="Times New Roman" w:eastAsia="宋体"/>
          <w:b/>
          <w:i w:val="0"/>
          <w:color w:val="0B2545"/>
          <w:sz w:val="19"/>
        </w:rPr>
        <w:t xml:space="preserve">目标价：330 美元　|　</w:t>
      </w:r>
      <w:r>
        <w:rPr>
          <w:rFonts w:ascii="Times New Roman" w:hAnsi="Times New Roman" w:eastAsia="宋体"/>
          <w:b w:val="0"/>
          <w:i w:val="0"/>
          <w:color w:val="666666"/>
          <w:sz w:val="19"/>
        </w:rPr>
        <w:t xml:space="preserve">现价（6/17/26）：280.91 美元　|　</w:t>
      </w:r>
      <w:r>
        <w:rPr>
          <w:rFonts w:ascii="Times New Roman" w:hAnsi="Times New Roman" w:eastAsia="宋体"/>
          <w:b w:val="0"/>
          <w:i w:val="0"/>
          <w:color w:val="666666"/>
          <w:sz w:val="19"/>
        </w:rPr>
        <w:t>市值：约 713 亿美元</w:t>
      </w:r>
    </w:p>
    <w:tbl>
      <w:tblPr>
        <w:tblW w:type="auto" w:w="0"/>
        <w:jc w:val="center"/>
        <w:tblLook w:firstColumn="1" w:firstRow="1" w:lastColumn="0" w:lastRow="0" w:noHBand="0" w:noVBand="1" w:val="04A0"/>
      </w:tblPr>
      <w:tblGrid>
        <w:gridCol w:w="2484"/>
        <w:gridCol w:w="2484"/>
        <w:gridCol w:w="2484"/>
        <w:gridCol w:w="2484"/>
      </w:tblGrid>
      <w:tr>
        <w:tc>
          <w:tcPr>
            <w:tcW w:type="dxa" w:w="2376"/>
            <w:shd w:val="clear" w:color="auto" w:fill="0B2545"/>
          </w:tcPr>
          <w:p>
            <w:pPr>
              <w:spacing w:after="20" w:before="20"/>
              <w:jc w:val="center"/>
            </w:pPr>
            <w:r/>
            <w:r>
              <w:rPr>
                <w:rFonts w:ascii="Times New Roman" w:hAnsi="Times New Roman" w:eastAsia="黑体"/>
                <w:b/>
                <w:i w:val="0"/>
                <w:color w:val="FFFFFF"/>
                <w:sz w:val="19"/>
              </w:rPr>
              <w:t>指标</w:t>
            </w:r>
          </w:p>
        </w:tc>
        <w:tc>
          <w:tcPr>
            <w:tcW w:type="dxa" w:w="2376"/>
            <w:shd w:val="clear" w:color="auto" w:fill="0B2545"/>
          </w:tcPr>
          <w:p>
            <w:pPr>
              <w:spacing w:after="20" w:before="20"/>
              <w:jc w:val="center"/>
            </w:pPr>
            <w:r/>
            <w:r>
              <w:rPr>
                <w:rFonts w:ascii="Times New Roman" w:hAnsi="Times New Roman" w:eastAsia="黑体"/>
                <w:b/>
                <w:i w:val="0"/>
                <w:color w:val="FFFFFF"/>
                <w:sz w:val="19"/>
              </w:rPr>
              <w:t>2026Q1 实际</w:t>
            </w:r>
          </w:p>
        </w:tc>
        <w:tc>
          <w:tcPr>
            <w:tcW w:type="dxa" w:w="2376"/>
            <w:shd w:val="clear" w:color="auto" w:fill="0B2545"/>
          </w:tcPr>
          <w:p>
            <w:pPr>
              <w:spacing w:after="20" w:before="20"/>
              <w:jc w:val="center"/>
            </w:pPr>
            <w:r/>
            <w:r>
              <w:rPr>
                <w:rFonts w:ascii="Times New Roman" w:hAnsi="Times New Roman" w:eastAsia="黑体"/>
                <w:b/>
                <w:i w:val="0"/>
                <w:color w:val="FFFFFF"/>
                <w:sz w:val="19"/>
              </w:rPr>
              <w:t>市场预期</w:t>
            </w:r>
          </w:p>
        </w:tc>
        <w:tc>
          <w:tcPr>
            <w:tcW w:type="dxa" w:w="2376"/>
            <w:shd w:val="clear" w:color="auto" w:fill="0B2545"/>
          </w:tcPr>
          <w:p>
            <w:pPr>
              <w:spacing w:after="20" w:before="20"/>
              <w:jc w:val="center"/>
            </w:pPr>
            <w:r/>
            <w:r>
              <w:rPr>
                <w:rFonts w:ascii="Times New Roman" w:hAnsi="Times New Roman" w:eastAsia="黑体"/>
                <w:b/>
                <w:i w:val="0"/>
                <w:color w:val="FFFFFF"/>
                <w:sz w:val="19"/>
              </w:rPr>
              <w:t>超出/(不及)</w:t>
            </w:r>
          </w:p>
        </w:tc>
      </w:tr>
      <w:tr>
        <w:tc>
          <w:tcPr>
            <w:tcW w:type="dxa" w:w="2376"/>
          </w:tcPr>
          <w:p>
            <w:pPr>
              <w:spacing w:after="20" w:before="20"/>
              <w:jc w:val="left"/>
            </w:pPr>
            <w:r/>
            <w:r>
              <w:rPr>
                <w:rFonts w:ascii="Times New Roman" w:hAnsi="Times New Roman" w:eastAsia="宋体"/>
                <w:b/>
                <w:i w:val="0"/>
                <w:sz w:val="19"/>
              </w:rPr>
              <w:t>集团营收</w:t>
            </w:r>
          </w:p>
        </w:tc>
        <w:tc>
          <w:tcPr>
            <w:tcW w:type="dxa" w:w="2376"/>
          </w:tcPr>
          <w:p>
            <w:pPr>
              <w:spacing w:after="20" w:before="20"/>
              <w:jc w:val="center"/>
            </w:pPr>
            <w:r/>
            <w:r>
              <w:rPr>
                <w:rFonts w:ascii="Times New Roman" w:hAnsi="Times New Roman" w:eastAsia="宋体"/>
                <w:b w:val="0"/>
                <w:i w:val="0"/>
                <w:sz w:val="19"/>
              </w:rPr>
              <w:t>3.990 亿美元</w:t>
            </w:r>
          </w:p>
        </w:tc>
        <w:tc>
          <w:tcPr>
            <w:tcW w:type="dxa" w:w="2376"/>
          </w:tcPr>
          <w:p>
            <w:pPr>
              <w:spacing w:after="20" w:before="20"/>
              <w:jc w:val="center"/>
            </w:pPr>
            <w:r/>
            <w:r>
              <w:rPr>
                <w:rFonts w:ascii="Times New Roman" w:hAnsi="Times New Roman" w:eastAsia="宋体"/>
                <w:b w:val="0"/>
                <w:i w:val="0"/>
                <w:sz w:val="19"/>
              </w:rPr>
              <w:t>3.916 亿美元</w:t>
            </w:r>
          </w:p>
        </w:tc>
        <w:tc>
          <w:tcPr>
            <w:tcW w:type="dxa" w:w="2376"/>
          </w:tcPr>
          <w:p>
            <w:pPr>
              <w:spacing w:after="20" w:before="20"/>
              <w:jc w:val="center"/>
            </w:pPr>
            <w:r/>
            <w:r>
              <w:rPr>
                <w:rFonts w:ascii="Times New Roman" w:hAnsi="Times New Roman" w:eastAsia="宋体"/>
                <w:b w:val="0"/>
                <w:i w:val="0"/>
                <w:sz w:val="19"/>
              </w:rPr>
              <w:t>+740 万 / +1.9%  ✔</w:t>
            </w:r>
          </w:p>
        </w:tc>
      </w:tr>
      <w:tr>
        <w:tc>
          <w:tcPr>
            <w:tcW w:type="dxa" w:w="2376"/>
          </w:tcPr>
          <w:p>
            <w:pPr>
              <w:spacing w:after="20" w:before="20"/>
              <w:jc w:val="left"/>
            </w:pPr>
            <w:r/>
            <w:r>
              <w:rPr>
                <w:rFonts w:ascii="Times New Roman" w:hAnsi="Times New Roman" w:eastAsia="宋体"/>
                <w:b/>
                <w:i w:val="0"/>
                <w:sz w:val="19"/>
              </w:rPr>
              <w:t>核心 AI 云 ARR</w:t>
            </w:r>
          </w:p>
        </w:tc>
        <w:tc>
          <w:tcPr>
            <w:tcW w:type="dxa" w:w="2376"/>
          </w:tcPr>
          <w:p>
            <w:pPr>
              <w:spacing w:after="20" w:before="20"/>
              <w:jc w:val="center"/>
            </w:pPr>
            <w:r/>
            <w:r>
              <w:rPr>
                <w:rFonts w:ascii="Times New Roman" w:hAnsi="Times New Roman" w:eastAsia="宋体"/>
                <w:b w:val="0"/>
                <w:i w:val="0"/>
                <w:sz w:val="19"/>
              </w:rPr>
              <w:t>19.2 亿美元</w:t>
            </w:r>
          </w:p>
        </w:tc>
        <w:tc>
          <w:tcPr>
            <w:tcW w:type="dxa" w:w="2376"/>
          </w:tcPr>
          <w:p>
            <w:pPr>
              <w:spacing w:after="20" w:before="20"/>
              <w:jc w:val="center"/>
            </w:pPr>
            <w:r/>
            <w:r>
              <w:rPr>
                <w:rFonts w:ascii="Times New Roman" w:hAnsi="Times New Roman" w:eastAsia="宋体"/>
                <w:b w:val="0"/>
                <w:i w:val="0"/>
                <w:sz w:val="19"/>
              </w:rPr>
              <w:t>—</w:t>
            </w:r>
          </w:p>
        </w:tc>
        <w:tc>
          <w:tcPr>
            <w:tcW w:type="dxa" w:w="2376"/>
          </w:tcPr>
          <w:p>
            <w:pPr>
              <w:spacing w:after="20" w:before="20"/>
              <w:jc w:val="center"/>
            </w:pPr>
            <w:r/>
            <w:r>
              <w:rPr>
                <w:rFonts w:ascii="Times New Roman" w:hAnsi="Times New Roman" w:eastAsia="宋体"/>
                <w:b w:val="0"/>
                <w:i w:val="0"/>
                <w:sz w:val="19"/>
              </w:rPr>
              <w:t>环比 +54%</w:t>
            </w:r>
          </w:p>
        </w:tc>
      </w:tr>
      <w:tr>
        <w:tc>
          <w:tcPr>
            <w:tcW w:type="dxa" w:w="2376"/>
          </w:tcPr>
          <w:p>
            <w:pPr>
              <w:spacing w:after="20" w:before="20"/>
              <w:jc w:val="left"/>
            </w:pPr>
            <w:r/>
            <w:r>
              <w:rPr>
                <w:rFonts w:ascii="Times New Roman" w:hAnsi="Times New Roman" w:eastAsia="宋体"/>
                <w:b/>
                <w:i w:val="0"/>
                <w:sz w:val="19"/>
              </w:rPr>
              <w:t>集团调整后 EBITDA</w:t>
            </w:r>
          </w:p>
        </w:tc>
        <w:tc>
          <w:tcPr>
            <w:tcW w:type="dxa" w:w="2376"/>
          </w:tcPr>
          <w:p>
            <w:pPr>
              <w:spacing w:after="20" w:before="20"/>
              <w:jc w:val="center"/>
            </w:pPr>
            <w:r/>
            <w:r>
              <w:rPr>
                <w:rFonts w:ascii="Times New Roman" w:hAnsi="Times New Roman" w:eastAsia="宋体"/>
                <w:b w:val="0"/>
                <w:i w:val="0"/>
                <w:sz w:val="19"/>
              </w:rPr>
              <w:t>1.295 亿美元</w:t>
            </w:r>
          </w:p>
        </w:tc>
        <w:tc>
          <w:tcPr>
            <w:tcW w:type="dxa" w:w="2376"/>
          </w:tcPr>
          <w:p>
            <w:pPr>
              <w:spacing w:after="20" w:before="20"/>
              <w:jc w:val="center"/>
            </w:pPr>
            <w:r/>
            <w:r>
              <w:rPr>
                <w:rFonts w:ascii="Times New Roman" w:hAnsi="Times New Roman" w:eastAsia="宋体"/>
                <w:b w:val="0"/>
                <w:i w:val="0"/>
                <w:sz w:val="19"/>
              </w:rPr>
              <w:t>约 0.95 亿美元</w:t>
            </w:r>
          </w:p>
        </w:tc>
        <w:tc>
          <w:tcPr>
            <w:tcW w:type="dxa" w:w="2376"/>
          </w:tcPr>
          <w:p>
            <w:pPr>
              <w:spacing w:after="20" w:before="20"/>
              <w:jc w:val="center"/>
            </w:pPr>
            <w:r/>
            <w:r>
              <w:rPr>
                <w:rFonts w:ascii="Times New Roman" w:hAnsi="Times New Roman" w:eastAsia="宋体"/>
                <w:b w:val="0"/>
                <w:i w:val="0"/>
                <w:sz w:val="19"/>
              </w:rPr>
              <w:t>+3400 万 / 超预期 ✔</w:t>
            </w:r>
          </w:p>
        </w:tc>
      </w:tr>
      <w:tr>
        <w:tc>
          <w:tcPr>
            <w:tcW w:type="dxa" w:w="2376"/>
          </w:tcPr>
          <w:p>
            <w:pPr>
              <w:spacing w:after="20" w:before="20"/>
              <w:jc w:val="left"/>
            </w:pPr>
            <w:r/>
            <w:r>
              <w:rPr>
                <w:rFonts w:ascii="Times New Roman" w:hAnsi="Times New Roman" w:eastAsia="宋体"/>
                <w:b/>
                <w:i w:val="0"/>
                <w:sz w:val="19"/>
              </w:rPr>
              <w:t>集团调整后 EBITDA 利润率</w:t>
            </w:r>
          </w:p>
        </w:tc>
        <w:tc>
          <w:tcPr>
            <w:tcW w:type="dxa" w:w="2376"/>
          </w:tcPr>
          <w:p>
            <w:pPr>
              <w:spacing w:after="20" w:before="20"/>
              <w:jc w:val="center"/>
            </w:pPr>
            <w:r/>
            <w:r>
              <w:rPr>
                <w:rFonts w:ascii="Times New Roman" w:hAnsi="Times New Roman" w:eastAsia="宋体"/>
                <w:b w:val="0"/>
                <w:i w:val="0"/>
                <w:sz w:val="19"/>
              </w:rPr>
              <w:t>32%</w:t>
            </w:r>
          </w:p>
        </w:tc>
        <w:tc>
          <w:tcPr>
            <w:tcW w:type="dxa" w:w="2376"/>
          </w:tcPr>
          <w:p>
            <w:pPr>
              <w:spacing w:after="20" w:before="20"/>
              <w:jc w:val="center"/>
            </w:pPr>
            <w:r/>
            <w:r>
              <w:rPr>
                <w:rFonts w:ascii="Times New Roman" w:hAnsi="Times New Roman" w:eastAsia="宋体"/>
                <w:b w:val="0"/>
                <w:i w:val="0"/>
                <w:sz w:val="19"/>
              </w:rPr>
              <w:t>约 24%</w:t>
            </w:r>
          </w:p>
        </w:tc>
        <w:tc>
          <w:tcPr>
            <w:tcW w:type="dxa" w:w="2376"/>
          </w:tcPr>
          <w:p>
            <w:pPr>
              <w:spacing w:after="20" w:before="20"/>
              <w:jc w:val="center"/>
            </w:pPr>
            <w:r/>
            <w:r>
              <w:rPr>
                <w:rFonts w:ascii="Times New Roman" w:hAnsi="Times New Roman" w:eastAsia="宋体"/>
                <w:b w:val="0"/>
                <w:i w:val="0"/>
                <w:sz w:val="19"/>
              </w:rPr>
              <w:t>+8 个百分点 ✔</w:t>
            </w:r>
          </w:p>
        </w:tc>
      </w:tr>
      <w:tr>
        <w:tc>
          <w:tcPr>
            <w:tcW w:type="dxa" w:w="2376"/>
          </w:tcPr>
          <w:p>
            <w:pPr>
              <w:spacing w:after="20" w:before="20"/>
              <w:jc w:val="left"/>
            </w:pPr>
            <w:r/>
            <w:r>
              <w:rPr>
                <w:rFonts w:ascii="Times New Roman" w:hAnsi="Times New Roman" w:eastAsia="宋体"/>
                <w:b/>
                <w:i w:val="0"/>
                <w:sz w:val="19"/>
              </w:rPr>
              <w:t>调整后每股收益（稀释）</w:t>
            </w:r>
          </w:p>
        </w:tc>
        <w:tc>
          <w:tcPr>
            <w:tcW w:type="dxa" w:w="2376"/>
          </w:tcPr>
          <w:p>
            <w:pPr>
              <w:spacing w:after="20" w:before="20"/>
              <w:jc w:val="center"/>
            </w:pPr>
            <w:r/>
            <w:r>
              <w:rPr>
                <w:rFonts w:ascii="Times New Roman" w:hAnsi="Times New Roman" w:eastAsia="宋体"/>
                <w:b w:val="0"/>
                <w:i w:val="0"/>
                <w:sz w:val="19"/>
              </w:rPr>
              <w:t>(0.39) 美元</w:t>
            </w:r>
          </w:p>
        </w:tc>
        <w:tc>
          <w:tcPr>
            <w:tcW w:type="dxa" w:w="2376"/>
          </w:tcPr>
          <w:p>
            <w:pPr>
              <w:spacing w:after="20" w:before="20"/>
              <w:jc w:val="center"/>
            </w:pPr>
            <w:r/>
            <w:r>
              <w:rPr>
                <w:rFonts w:ascii="Times New Roman" w:hAnsi="Times New Roman" w:eastAsia="宋体"/>
                <w:b w:val="0"/>
                <w:i w:val="0"/>
                <w:sz w:val="19"/>
              </w:rPr>
              <w:t>(0.78) 美元</w:t>
            </w:r>
          </w:p>
        </w:tc>
        <w:tc>
          <w:tcPr>
            <w:tcW w:type="dxa" w:w="2376"/>
          </w:tcPr>
          <w:p>
            <w:pPr>
              <w:spacing w:after="20" w:before="20"/>
              <w:jc w:val="center"/>
            </w:pPr>
            <w:r/>
            <w:r>
              <w:rPr>
                <w:rFonts w:ascii="Times New Roman" w:hAnsi="Times New Roman" w:eastAsia="宋体"/>
                <w:b w:val="0"/>
                <w:i w:val="0"/>
                <w:sz w:val="19"/>
              </w:rPr>
              <w:t>亏损收窄 ✔</w:t>
            </w:r>
          </w:p>
        </w:tc>
      </w:tr>
      <w:tr>
        <w:tc>
          <w:tcPr>
            <w:tcW w:type="dxa" w:w="2376"/>
          </w:tcPr>
          <w:p>
            <w:pPr>
              <w:spacing w:after="20" w:before="20"/>
              <w:jc w:val="left"/>
            </w:pPr>
            <w:r/>
            <w:r>
              <w:rPr>
                <w:rFonts w:ascii="Times New Roman" w:hAnsi="Times New Roman" w:eastAsia="宋体"/>
                <w:b/>
                <w:i w:val="0"/>
                <w:sz w:val="19"/>
              </w:rPr>
              <w:t>GAAP 每股收益（稀释）</w:t>
            </w:r>
          </w:p>
        </w:tc>
        <w:tc>
          <w:tcPr>
            <w:tcW w:type="dxa" w:w="2376"/>
          </w:tcPr>
          <w:p>
            <w:pPr>
              <w:spacing w:after="20" w:before="20"/>
              <w:jc w:val="center"/>
            </w:pPr>
            <w:r/>
            <w:r>
              <w:rPr>
                <w:rFonts w:ascii="Times New Roman" w:hAnsi="Times New Roman" w:eastAsia="宋体"/>
                <w:b w:val="0"/>
                <w:i w:val="0"/>
                <w:sz w:val="19"/>
              </w:rPr>
              <w:t>2.11 美元</w:t>
            </w:r>
          </w:p>
        </w:tc>
        <w:tc>
          <w:tcPr>
            <w:tcW w:type="dxa" w:w="2376"/>
          </w:tcPr>
          <w:p>
            <w:pPr>
              <w:spacing w:after="20" w:before="20"/>
              <w:jc w:val="center"/>
            </w:pPr>
            <w:r/>
            <w:r>
              <w:rPr>
                <w:rFonts w:ascii="Times New Roman" w:hAnsi="Times New Roman" w:eastAsia="宋体"/>
                <w:b w:val="0"/>
                <w:i w:val="0"/>
                <w:sz w:val="19"/>
              </w:rPr>
              <w:t>无意义</w:t>
            </w:r>
          </w:p>
        </w:tc>
        <w:tc>
          <w:tcPr>
            <w:tcW w:type="dxa" w:w="2376"/>
          </w:tcPr>
          <w:p>
            <w:pPr>
              <w:spacing w:after="20" w:before="20"/>
              <w:jc w:val="center"/>
            </w:pPr>
            <w:r/>
            <w:r>
              <w:rPr>
                <w:rFonts w:ascii="Times New Roman" w:hAnsi="Times New Roman" w:eastAsia="宋体"/>
                <w:b w:val="0"/>
                <w:i w:val="0"/>
                <w:sz w:val="19"/>
              </w:rPr>
              <w:t>含 7.81 亿 ClickHouse 收益</w:t>
            </w:r>
          </w:p>
        </w:tc>
      </w:tr>
    </w:tbl>
    <w:p>
      <w:pPr>
        <w:spacing w:after="200"/>
      </w:pPr>
      <w:r>
        <w:rPr>
          <w:rFonts w:ascii="Times New Roman" w:hAnsi="Times New Roman" w:eastAsia="宋体"/>
          <w:b w:val="0"/>
          <w:i/>
          <w:color w:val="666666"/>
          <w:sz w:val="16"/>
        </w:rPr>
        <w:t>资料来源：</w:t>
      </w:r>
      <w:r>
        <w:rPr>
          <w:rFonts w:ascii="Times New Roman" w:hAnsi="Times New Roman" w:eastAsia="宋体"/>
          <w:b w:val="0"/>
          <w:i/>
          <w:color w:val="666666"/>
          <w:sz w:val="16"/>
        </w:rPr>
        <w:t>2026Q1 业绩新闻稿及 6-K 文件（2026 年 5 月 13 日发布），</w:t>
      </w:r>
      <w:hyperlink r:id="rId9">
        <w:r>
          <w:rPr>
            <w:rFonts w:ascii="Times New Roman" w:hAnsi="Times New Roman" w:eastAsia="宋体"/>
            <w:color w:val="1F6FEB"/>
            <w:u w:val="single"/>
            <w:sz w:val="20"/>
          </w:rPr>
          <w:t>Nebius 投资者关系</w:t>
        </w:r>
      </w:hyperlink>
      <w:r>
        <w:rPr>
          <w:rFonts w:ascii="Times New Roman" w:hAnsi="Times New Roman" w:eastAsia="宋体"/>
          <w:b w:val="0"/>
          <w:i/>
          <w:color w:val="666666"/>
          <w:sz w:val="16"/>
        </w:rPr>
        <w:t>；市场预期采自 Visible Alpha / Investing.com，截至 2026 年 5 月 12 日。</w:t>
      </w:r>
    </w:p>
    <w:p>
      <w:pPr>
        <w:spacing w:after="80" w:before="200"/>
      </w:pPr>
      <w:r>
        <w:rPr>
          <w:rFonts w:ascii="Times New Roman" w:hAnsi="Times New Roman" w:eastAsia="黑体"/>
          <w:b/>
          <w:i w:val="0"/>
          <w:color w:val="0B2545"/>
          <w:sz w:val="26"/>
        </w:rPr>
        <w:t>核心结论：一份炸裂的财报 —— 维持买入，目标价上调至 330 美元</w:t>
      </w:r>
    </w:p>
    <w:p>
      <w:pPr>
        <w:spacing w:after="160" w:before="0"/>
      </w:pPr>
      <w:r>
        <w:rPr>
          <w:rFonts w:ascii="Times New Roman" w:hAnsi="Times New Roman" w:eastAsia="宋体"/>
          <w:b w:val="0"/>
          <w:i w:val="0"/>
          <w:sz w:val="21"/>
        </w:rPr>
        <w:t>Nebius 本季度交出一份“既超预期、又在扩张”的优质答卷。集团营收 3.990 亿美元（同比 +684%、环比 +75%）超市场预期；核心 AI 云 ARR 环比飙升 +54% 至 19.2 亿美元；集团调整后 EBITDA 环比翻倍以上至 1.295 亿美元（利润率 32%），AI 云业务调整后 EBITDA 利润率达 45%。战略层面的重磅消息是与 Meta 签订的 270 亿美元、为期五年的协议，以及英伟达 20 亿美元的股权投资，确立了 Nebius 作为一线“新云（neocloud）”厂商的地位。管理层将 2026 年资本开支指引上调至 200–250 亿美元（原 160–200 亿），以提前锁定 2027 年产能；同时重申全年 70–90 亿美元的退出期 ARR 与 30–34 亿美元营收。基于更高的远期 ARR 可见度与已大幅去风险的资本结构（93 亿美元现金），我们将目标价由 300 美元上调至 330 美元。</w:t>
      </w:r>
    </w:p>
    <w:p>
      <w:pPr>
        <w:spacing w:after="80" w:before="200"/>
      </w:pPr>
      <w:r>
        <w:rPr>
          <w:rFonts w:ascii="Times New Roman" w:hAnsi="Times New Roman" w:eastAsia="黑体"/>
          <w:b/>
          <w:i w:val="0"/>
          <w:color w:val="0B2545"/>
          <w:sz w:val="24"/>
        </w:rPr>
        <w:t>关键要点</w:t>
      </w:r>
    </w:p>
    <w:p>
      <w:pPr>
        <w:pStyle w:val="ListBullet"/>
        <w:spacing w:after="80"/>
      </w:pPr>
      <w:r>
        <w:rPr>
          <w:rFonts w:ascii="Times New Roman" w:hAnsi="Times New Roman" w:eastAsia="宋体"/>
          <w:b/>
          <w:i w:val="0"/>
          <w:sz w:val="21"/>
        </w:rPr>
        <w:t>需求不再是受限变量。</w:t>
      </w:r>
      <w:r>
        <w:rPr>
          <w:rFonts w:ascii="Times New Roman" w:hAnsi="Times New Roman" w:eastAsia="宋体"/>
          <w:b w:val="0"/>
          <w:i w:val="0"/>
          <w:sz w:val="21"/>
        </w:rPr>
        <w:t>“我们建多少，就卖多少”——AI 云销售管道环比增长 3.5 倍（不含超大规模客户），公司再次提价且各类芯片均已售罄。已签约电力达 3.5 GW 以上（原约 2 GW），2026 年底目标 &gt;4 GW。</w:t>
      </w:r>
    </w:p>
    <w:p>
      <w:pPr>
        <w:pStyle w:val="ListBullet"/>
        <w:spacing w:after="80"/>
      </w:pPr>
      <w:r>
        <w:rPr>
          <w:rFonts w:ascii="Times New Roman" w:hAnsi="Times New Roman" w:eastAsia="宋体"/>
          <w:b/>
          <w:i w:val="0"/>
          <w:sz w:val="21"/>
        </w:rPr>
        <w:t>利润率出现强劲拐点。</w:t>
      </w:r>
      <w:r>
        <w:rPr>
          <w:rFonts w:ascii="Times New Roman" w:hAnsi="Times New Roman" w:eastAsia="宋体"/>
          <w:b w:val="0"/>
          <w:i w:val="0"/>
          <w:sz w:val="21"/>
        </w:rPr>
        <w:t>核心 AI 云调整后 EBITDA 利润率由 2025Q4 的 24% 扩张至 45%；集团利润率达 32%。管理层指引 2026 全年集团调整后 EBITDA 利润率约 40%，节奏上呈下半年加权。</w:t>
      </w:r>
    </w:p>
    <w:p>
      <w:pPr>
        <w:pStyle w:val="ListBullet"/>
        <w:spacing w:after="80"/>
      </w:pPr>
      <w:r>
        <w:rPr>
          <w:rFonts w:ascii="Times New Roman" w:hAnsi="Times New Roman" w:eastAsia="宋体"/>
          <w:b/>
          <w:i w:val="0"/>
          <w:sz w:val="21"/>
        </w:rPr>
        <w:t>资产负债表已成为武器。</w:t>
      </w:r>
      <w:r>
        <w:rPr>
          <w:rFonts w:ascii="Times New Roman" w:hAnsi="Times New Roman" w:eastAsia="宋体"/>
          <w:b w:val="0"/>
          <w:i w:val="0"/>
          <w:sz w:val="21"/>
        </w:rPr>
        <w:t>本季度融资 63 亿美元（43 亿可转债 + 英伟达 20 亿股权）；现金 93 亿美元，且当前资本开支计划 &gt;90% 已由现金与合约锁定。经营性现金流转正至 +23 亿美元。</w:t>
      </w:r>
    </w:p>
    <w:p>
      <w:pPr>
        <w:pStyle w:val="ListBullet"/>
        <w:spacing w:after="80"/>
      </w:pPr>
      <w:r>
        <w:rPr>
          <w:rFonts w:ascii="Times New Roman" w:hAnsi="Times New Roman" w:eastAsia="宋体"/>
          <w:b/>
          <w:i w:val="0"/>
          <w:sz w:val="21"/>
        </w:rPr>
        <w:t>产能提前布局。</w:t>
      </w:r>
      <w:r>
        <w:rPr>
          <w:rFonts w:ascii="Times New Roman" w:hAnsi="Times New Roman" w:eastAsia="宋体"/>
          <w:b w:val="0"/>
          <w:i w:val="0"/>
          <w:sz w:val="21"/>
        </w:rPr>
        <w:t>宾夕法尼亚州新增 1.2 GW 自有 AI 工厂（美国第二个吉瓦级自有站点），自有产能占比 &gt;75%。资本开支上调至 200–250 亿美元用于 2027 年产能，相关收入将自 2027 上半年开始贡献。</w:t>
      </w:r>
    </w:p>
    <w:p>
      <w:pPr>
        <w:pStyle w:val="ListBullet"/>
        <w:spacing w:after="80"/>
      </w:pPr>
      <w:r>
        <w:rPr>
          <w:rFonts w:ascii="Times New Roman" w:hAnsi="Times New Roman" w:eastAsia="宋体"/>
          <w:b/>
          <w:i w:val="0"/>
          <w:sz w:val="21"/>
        </w:rPr>
        <w:t>需关注事项。</w:t>
      </w:r>
      <w:r>
        <w:rPr>
          <w:rFonts w:ascii="Times New Roman" w:hAnsi="Times New Roman" w:eastAsia="宋体"/>
          <w:b w:val="0"/>
          <w:i w:val="0"/>
          <w:sz w:val="21"/>
        </w:rPr>
        <w:t>二季度利润率因产能部署后置而环比走低；超 330 亿美元的递延/合约在手订单集中于少数大单（Meta、微软）；非核心业务（Avride、TripleTen、Toloka）仍在消耗现金，正筹备引入合作方或分拆。</w:t>
      </w:r>
    </w:p>
    <w:p>
      <w:pPr>
        <w:jc w:val="center"/>
      </w:pPr>
      <w:r>
        <w:drawing>
          <wp:inline xmlns:a="http://schemas.openxmlformats.org/drawingml/2006/main" xmlns:pic="http://schemas.openxmlformats.org/drawingml/2006/picture">
            <wp:extent cx="5212080" cy="3012621"/>
            <wp:docPr id="1" name="Picture 1"/>
            <wp:cNvGraphicFramePr>
              <a:graphicFrameLocks noChangeAspect="1"/>
            </wp:cNvGraphicFramePr>
            <a:graphic>
              <a:graphicData uri="http://schemas.openxmlformats.org/drawingml/2006/picture">
                <pic:pic>
                  <pic:nvPicPr>
                    <pic:cNvPr id="0" name="nbis_chart1_revenue.png"/>
                    <pic:cNvPicPr/>
                  </pic:nvPicPr>
                  <pic:blipFill>
                    <a:blip r:embed="rId10"/>
                    <a:stretch>
                      <a:fillRect/>
                    </a:stretch>
                  </pic:blipFill>
                  <pic:spPr>
                    <a:xfrm>
                      <a:off x="0" y="0"/>
                      <a:ext cx="5212080" cy="3012621"/>
                    </a:xfrm>
                    <a:prstGeom prst="rect"/>
                  </pic:spPr>
                </pic:pic>
              </a:graphicData>
            </a:graphic>
          </wp:inline>
        </w:drawing>
      </w:r>
    </w:p>
    <w:p>
      <w:pPr>
        <w:spacing w:after="200"/>
      </w:pPr>
      <w:r>
        <w:rPr>
          <w:rFonts w:ascii="Times New Roman" w:hAnsi="Times New Roman" w:eastAsia="宋体"/>
          <w:b w:val="0"/>
          <w:i/>
          <w:color w:val="666666"/>
          <w:sz w:val="16"/>
        </w:rPr>
        <w:t>资料来源：</w:t>
      </w:r>
      <w:r>
        <w:rPr>
          <w:rFonts w:ascii="Times New Roman" w:hAnsi="Times New Roman" w:eastAsia="宋体"/>
          <w:b w:val="0"/>
          <w:i/>
          <w:color w:val="666666"/>
          <w:sz w:val="16"/>
        </w:rPr>
        <w:t>公司季度业绩新闻稿，2025Q1–2026Q1（</w:t>
      </w:r>
      <w:hyperlink r:id="rId11">
        <w:r>
          <w:rPr>
            <w:rFonts w:ascii="Times New Roman" w:hAnsi="Times New Roman" w:eastAsia="宋体"/>
            <w:color w:val="1F6FEB"/>
            <w:u w:val="single"/>
            <w:sz w:val="20"/>
          </w:rPr>
          <w:t>SEC EDGAR 6-K 文件</w:t>
        </w:r>
      </w:hyperlink>
      <w:r>
        <w:rPr>
          <w:rFonts w:ascii="Times New Roman" w:hAnsi="Times New Roman" w:eastAsia="宋体"/>
          <w:b w:val="0"/>
          <w:i/>
          <w:color w:val="666666"/>
          <w:sz w:val="16"/>
        </w:rPr>
        <w:t>）。</w:t>
      </w:r>
    </w:p>
    <w:p>
      <w:r>
        <w:br w:type="page"/>
      </w:r>
    </w:p>
    <w:p>
      <w:pPr>
        <w:spacing w:after="80" w:before="200"/>
      </w:pPr>
      <w:r>
        <w:rPr>
          <w:rFonts w:ascii="Times New Roman" w:hAnsi="Times New Roman" w:eastAsia="黑体"/>
          <w:b/>
          <w:i w:val="0"/>
          <w:color w:val="0B2545"/>
          <w:sz w:val="28"/>
        </w:rPr>
        <w:t>一、业绩明细 —— 全面超预期</w:t>
      </w:r>
    </w:p>
    <w:p>
      <w:pPr>
        <w:spacing w:after="60" w:before="0"/>
      </w:pPr>
      <w:r>
        <w:rPr>
          <w:rFonts w:ascii="Times New Roman" w:hAnsi="Times New Roman" w:eastAsia="黑体"/>
          <w:b/>
          <w:i w:val="0"/>
          <w:color w:val="1F6FEB"/>
          <w:sz w:val="23"/>
        </w:rPr>
        <w:t>营收超预期，由 AI 云放量驱动</w:t>
      </w:r>
    </w:p>
    <w:p>
      <w:pPr>
        <w:spacing w:after="120" w:before="0"/>
      </w:pPr>
      <w:r>
        <w:rPr>
          <w:rFonts w:ascii="Times New Roman" w:hAnsi="Times New Roman" w:eastAsia="宋体"/>
          <w:b w:val="0"/>
          <w:i w:val="0"/>
          <w:sz w:val="21"/>
        </w:rPr>
        <w:t>集团营收 3.990 亿美元，较市场预期 3.916 亿美元高出约 1.9%，环比增长 75%。Nebius AI 云营收 3.897 亿美元（同比 +841%、环比 +82%），现已占集团的 98%。超预期主要源于产能上线快于预期且即时变现——利用率基本处于售罄状态。核心基础设施业务的 ARR（年化运行营收）升至 19.2 亿美元，环比 +54%，对应每兆瓦活跃产能约 0.94 百万美元的资产产出效率。</w:t>
      </w:r>
    </w:p>
    <w:p>
      <w:pPr>
        <w:jc w:val="center"/>
      </w:pPr>
      <w:r>
        <w:drawing>
          <wp:inline xmlns:a="http://schemas.openxmlformats.org/drawingml/2006/main" xmlns:pic="http://schemas.openxmlformats.org/drawingml/2006/picture">
            <wp:extent cx="5212080" cy="3012621"/>
            <wp:docPr id="2" name="Picture 2"/>
            <wp:cNvGraphicFramePr>
              <a:graphicFrameLocks noChangeAspect="1"/>
            </wp:cNvGraphicFramePr>
            <a:graphic>
              <a:graphicData uri="http://schemas.openxmlformats.org/drawingml/2006/picture">
                <pic:pic>
                  <pic:nvPicPr>
                    <pic:cNvPr id="0" name="nbis_chart2_arr.png"/>
                    <pic:cNvPicPr/>
                  </pic:nvPicPr>
                  <pic:blipFill>
                    <a:blip r:embed="rId12"/>
                    <a:stretch>
                      <a:fillRect/>
                    </a:stretch>
                  </pic:blipFill>
                  <pic:spPr>
                    <a:xfrm>
                      <a:off x="0" y="0"/>
                      <a:ext cx="5212080" cy="3012621"/>
                    </a:xfrm>
                    <a:prstGeom prst="rect"/>
                  </pic:spPr>
                </pic:pic>
              </a:graphicData>
            </a:graphic>
          </wp:inline>
        </w:drawing>
      </w:r>
    </w:p>
    <w:p>
      <w:pPr>
        <w:spacing w:after="200"/>
      </w:pPr>
      <w:r>
        <w:rPr>
          <w:rFonts w:ascii="Times New Roman" w:hAnsi="Times New Roman" w:eastAsia="宋体"/>
          <w:b w:val="0"/>
          <w:i/>
          <w:color w:val="666666"/>
          <w:sz w:val="16"/>
        </w:rPr>
        <w:t>资料来源：</w:t>
      </w:r>
      <w:r>
        <w:rPr>
          <w:rFonts w:ascii="Times New Roman" w:hAnsi="Times New Roman" w:eastAsia="宋体"/>
          <w:b w:val="0"/>
          <w:i/>
          <w:color w:val="666666"/>
          <w:sz w:val="16"/>
        </w:rPr>
        <w:t>2026Q1 业绩新闻稿，</w:t>
      </w:r>
      <w:hyperlink r:id="rId9">
        <w:r>
          <w:rPr>
            <w:rFonts w:ascii="Times New Roman" w:hAnsi="Times New Roman" w:eastAsia="宋体"/>
            <w:color w:val="1F6FEB"/>
            <w:u w:val="single"/>
            <w:sz w:val="20"/>
          </w:rPr>
          <w:t>Nebius 投资者关系（2026 年 5 月 13 日）</w:t>
        </w:r>
      </w:hyperlink>
      <w:r>
        <w:rPr>
          <w:rFonts w:ascii="Times New Roman" w:hAnsi="Times New Roman" w:eastAsia="宋体"/>
          <w:b w:val="0"/>
          <w:i/>
          <w:color w:val="666666"/>
          <w:sz w:val="16"/>
        </w:rPr>
        <w:t>。</w:t>
      </w:r>
    </w:p>
    <w:p>
      <w:pPr>
        <w:spacing w:after="60" w:before="0"/>
      </w:pPr>
      <w:r>
        <w:rPr>
          <w:rFonts w:ascii="Times New Roman" w:hAnsi="Times New Roman" w:eastAsia="黑体"/>
          <w:b/>
          <w:i w:val="0"/>
          <w:color w:val="1F6FEB"/>
          <w:sz w:val="23"/>
        </w:rPr>
        <w:t>盈利能力拐点</w:t>
      </w:r>
    </w:p>
    <w:p>
      <w:pPr>
        <w:spacing w:after="120" w:before="0"/>
      </w:pPr>
      <w:r>
        <w:rPr>
          <w:rFonts w:ascii="Times New Roman" w:hAnsi="Times New Roman" w:eastAsia="宋体"/>
          <w:b w:val="0"/>
          <w:i w:val="0"/>
          <w:sz w:val="21"/>
        </w:rPr>
        <w:t>集团调整后 EBITDA 为 1.295 亿美元（利润率 32%），高于 2025Q4 的 1500 万美元（7%）及去年同期的 (5370) 万美元亏损。核心 AI 云调整后 EBITDA 利润率由 2025Q4 的 24% 扩张至 45%，体现固定成本随营收放量被有效摊薄。按 GAAP 口径，持续经营净利润为 6.212 亿美元，但其中包含对 ClickHouse 股权重估产生的一次性 7.806 亿美元收益；按调整后口径，Nebius 净亏损 (1.003) 亿美元，即每股 (0.39) 美元，亏损远小于市场预期的 (0.78) 美元。</w:t>
      </w:r>
    </w:p>
    <w:p>
      <w:pPr>
        <w:jc w:val="center"/>
      </w:pPr>
      <w:r>
        <w:drawing>
          <wp:inline xmlns:a="http://schemas.openxmlformats.org/drawingml/2006/main" xmlns:pic="http://schemas.openxmlformats.org/drawingml/2006/picture">
            <wp:extent cx="5212080" cy="2963636"/>
            <wp:docPr id="3" name="Picture 3"/>
            <wp:cNvGraphicFramePr>
              <a:graphicFrameLocks noChangeAspect="1"/>
            </wp:cNvGraphicFramePr>
            <a:graphic>
              <a:graphicData uri="http://schemas.openxmlformats.org/drawingml/2006/picture">
                <pic:pic>
                  <pic:nvPicPr>
                    <pic:cNvPr id="0" name="nbis_chart3_ebitda.png"/>
                    <pic:cNvPicPr/>
                  </pic:nvPicPr>
                  <pic:blipFill>
                    <a:blip r:embed="rId13"/>
                    <a:stretch>
                      <a:fillRect/>
                    </a:stretch>
                  </pic:blipFill>
                  <pic:spPr>
                    <a:xfrm>
                      <a:off x="0" y="0"/>
                      <a:ext cx="5212080" cy="2963636"/>
                    </a:xfrm>
                    <a:prstGeom prst="rect"/>
                  </pic:spPr>
                </pic:pic>
              </a:graphicData>
            </a:graphic>
          </wp:inline>
        </w:drawing>
      </w:r>
    </w:p>
    <w:p>
      <w:pPr>
        <w:spacing w:after="200"/>
      </w:pPr>
      <w:r>
        <w:rPr>
          <w:rFonts w:ascii="Times New Roman" w:hAnsi="Times New Roman" w:eastAsia="宋体"/>
          <w:b w:val="0"/>
          <w:i/>
          <w:color w:val="666666"/>
          <w:sz w:val="16"/>
        </w:rPr>
        <w:t>资料来源：</w:t>
      </w:r>
      <w:r>
        <w:rPr>
          <w:rFonts w:ascii="Times New Roman" w:hAnsi="Times New Roman" w:eastAsia="宋体"/>
          <w:b w:val="0"/>
          <w:i/>
          <w:color w:val="666666"/>
          <w:sz w:val="16"/>
        </w:rPr>
        <w:t>2026Q1 6-K 及业绩新闻稿；2025Q2/Q3 调整后 EBITDA 为趋势示意插值。</w:t>
      </w:r>
      <w:hyperlink r:id="rId11">
        <w:r>
          <w:rPr>
            <w:rFonts w:ascii="Times New Roman" w:hAnsi="Times New Roman" w:eastAsia="宋体"/>
            <w:color w:val="1F6FEB"/>
            <w:u w:val="single"/>
            <w:sz w:val="20"/>
          </w:rPr>
          <w:t>SEC EDGAR</w:t>
        </w:r>
      </w:hyperlink>
      <w:r>
        <w:rPr>
          <w:rFonts w:ascii="Times New Roman" w:hAnsi="Times New Roman" w:eastAsia="宋体"/>
          <w:b w:val="0"/>
          <w:i/>
          <w:color w:val="666666"/>
          <w:sz w:val="16"/>
        </w:rPr>
        <w:t>。</w:t>
      </w:r>
    </w:p>
    <w:p>
      <w:pPr>
        <w:spacing w:after="60" w:before="0"/>
      </w:pPr>
      <w:r>
        <w:rPr>
          <w:rFonts w:ascii="Times New Roman" w:hAnsi="Times New Roman" w:eastAsia="黑体"/>
          <w:b/>
          <w:i w:val="0"/>
          <w:color w:val="1F6FEB"/>
          <w:sz w:val="23"/>
        </w:rPr>
        <w:t>超预期/不及预期一览</w:t>
      </w:r>
    </w:p>
    <w:p>
      <w:pPr>
        <w:spacing w:after="120" w:before="0"/>
      </w:pPr>
      <w:r>
        <w:rPr>
          <w:rFonts w:ascii="Times New Roman" w:hAnsi="Times New Roman" w:eastAsia="宋体"/>
          <w:b w:val="0"/>
          <w:i w:val="0"/>
          <w:sz w:val="21"/>
        </w:rPr>
        <w:t>Nebius 在营收、调整后 EBITDA 与每股收益三方面均超预期。财报发布后股价上涨约 20%，既反映经营层面的超预期，也反映 Meta/英伟达带来的战略背书。</w:t>
      </w:r>
    </w:p>
    <w:p>
      <w:pPr>
        <w:jc w:val="center"/>
      </w:pPr>
      <w:r>
        <w:drawing>
          <wp:inline xmlns:a="http://schemas.openxmlformats.org/drawingml/2006/main" xmlns:pic="http://schemas.openxmlformats.org/drawingml/2006/picture">
            <wp:extent cx="5212080" cy="2862974"/>
            <wp:docPr id="4" name="Picture 4"/>
            <wp:cNvGraphicFramePr>
              <a:graphicFrameLocks noChangeAspect="1"/>
            </wp:cNvGraphicFramePr>
            <a:graphic>
              <a:graphicData uri="http://schemas.openxmlformats.org/drawingml/2006/picture">
                <pic:pic>
                  <pic:nvPicPr>
                    <pic:cNvPr id="0" name="nbis_chart4_beatmiss.png"/>
                    <pic:cNvPicPr/>
                  </pic:nvPicPr>
                  <pic:blipFill>
                    <a:blip r:embed="rId14"/>
                    <a:stretch>
                      <a:fillRect/>
                    </a:stretch>
                  </pic:blipFill>
                  <pic:spPr>
                    <a:xfrm>
                      <a:off x="0" y="0"/>
                      <a:ext cx="5212080" cy="2862974"/>
                    </a:xfrm>
                    <a:prstGeom prst="rect"/>
                  </pic:spPr>
                </pic:pic>
              </a:graphicData>
            </a:graphic>
          </wp:inline>
        </w:drawing>
      </w:r>
    </w:p>
    <w:p>
      <w:pPr>
        <w:spacing w:after="200"/>
      </w:pPr>
      <w:r>
        <w:rPr>
          <w:rFonts w:ascii="Times New Roman" w:hAnsi="Times New Roman" w:eastAsia="宋体"/>
          <w:b w:val="0"/>
          <w:i/>
          <w:color w:val="666666"/>
          <w:sz w:val="16"/>
        </w:rPr>
        <w:t>资料来源：</w:t>
      </w:r>
      <w:r>
        <w:rPr>
          <w:rFonts w:ascii="Times New Roman" w:hAnsi="Times New Roman" w:eastAsia="宋体"/>
          <w:b w:val="0"/>
          <w:i/>
          <w:color w:val="666666"/>
          <w:sz w:val="16"/>
        </w:rPr>
        <w:t>实际值采自 2026Q1 新闻稿；市场预期采自 Investing.com / Visible Alpha，截至 2026 年 5 月 12 日。</w:t>
      </w:r>
      <w:hyperlink r:id="rId15">
        <w:r>
          <w:rPr>
            <w:rFonts w:ascii="Times New Roman" w:hAnsi="Times New Roman" w:eastAsia="宋体"/>
            <w:color w:val="1F6FEB"/>
            <w:u w:val="single"/>
            <w:sz w:val="20"/>
          </w:rPr>
          <w:t>Investing.com 电话会纪要</w:t>
        </w:r>
      </w:hyperlink>
      <w:r>
        <w:rPr>
          <w:rFonts w:ascii="Times New Roman" w:hAnsi="Times New Roman" w:eastAsia="宋体"/>
          <w:b w:val="0"/>
          <w:i/>
          <w:color w:val="666666"/>
          <w:sz w:val="16"/>
        </w:rPr>
        <w:t>。</w:t>
      </w:r>
    </w:p>
    <w:p>
      <w:r>
        <w:br w:type="page"/>
      </w:r>
    </w:p>
    <w:p>
      <w:pPr>
        <w:spacing w:after="80" w:before="200"/>
      </w:pPr>
      <w:r>
        <w:rPr>
          <w:rFonts w:ascii="Times New Roman" w:hAnsi="Times New Roman" w:eastAsia="黑体"/>
          <w:b/>
          <w:i w:val="0"/>
          <w:color w:val="0B2545"/>
          <w:sz w:val="28"/>
        </w:rPr>
        <w:t>二、关键指标、产能与资本</w:t>
      </w:r>
    </w:p>
    <w:p>
      <w:pPr>
        <w:spacing w:after="60" w:before="0"/>
      </w:pPr>
      <w:r>
        <w:rPr>
          <w:rFonts w:ascii="Times New Roman" w:hAnsi="Times New Roman" w:eastAsia="黑体"/>
          <w:b/>
          <w:i w:val="0"/>
          <w:color w:val="1F6FEB"/>
          <w:sz w:val="23"/>
        </w:rPr>
        <w:t>产能：签约领先于需求</w:t>
      </w:r>
    </w:p>
    <w:p>
      <w:pPr>
        <w:spacing w:after="120" w:before="0"/>
      </w:pPr>
      <w:r>
        <w:rPr>
          <w:rFonts w:ascii="Times New Roman" w:hAnsi="Times New Roman" w:eastAsia="宋体"/>
          <w:b w:val="0"/>
          <w:i w:val="0"/>
          <w:sz w:val="21"/>
        </w:rPr>
        <w:t>Nebius 已签约电力 &gt;3.5 GW（上季度约 2 GW），并将 2026 年底目标上调至 &gt;4 GW。公司宣布在宾夕法尼亚州新建 1.2 GW 自有 AI 工厂——这是其在美国的第二个吉瓦级自有站点——自有产能占比 &gt;75%，相较以租赁为主的新云同业构成结构性的成本与掌控优势。超过 100 MW 的数据中心站点增至 7 个（2025 年底为 1 个）。宾州设施将于 2027 年底前上线 250–300 MW，到 2030 年扩至完整的 1.2 GW；阿拉巴马与密苏里项目将自 2027 年初开始贡献。</w:t>
      </w:r>
    </w:p>
    <w:p>
      <w:pPr>
        <w:jc w:val="center"/>
      </w:pPr>
      <w:r>
        <w:drawing>
          <wp:inline xmlns:a="http://schemas.openxmlformats.org/drawingml/2006/main" xmlns:pic="http://schemas.openxmlformats.org/drawingml/2006/picture">
            <wp:extent cx="5120640" cy="2779089"/>
            <wp:docPr id="5" name="Picture 5"/>
            <wp:cNvGraphicFramePr>
              <a:graphicFrameLocks noChangeAspect="1"/>
            </wp:cNvGraphicFramePr>
            <a:graphic>
              <a:graphicData uri="http://schemas.openxmlformats.org/drawingml/2006/picture">
                <pic:pic>
                  <pic:nvPicPr>
                    <pic:cNvPr id="0" name="nbis_chart5_power.png"/>
                    <pic:cNvPicPr/>
                  </pic:nvPicPr>
                  <pic:blipFill>
                    <a:blip r:embed="rId16"/>
                    <a:stretch>
                      <a:fillRect/>
                    </a:stretch>
                  </pic:blipFill>
                  <pic:spPr>
                    <a:xfrm>
                      <a:off x="0" y="0"/>
                      <a:ext cx="5120640" cy="2779089"/>
                    </a:xfrm>
                    <a:prstGeom prst="rect"/>
                  </pic:spPr>
                </pic:pic>
              </a:graphicData>
            </a:graphic>
          </wp:inline>
        </w:drawing>
      </w:r>
    </w:p>
    <w:p>
      <w:pPr>
        <w:spacing w:after="200"/>
      </w:pPr>
      <w:r>
        <w:rPr>
          <w:rFonts w:ascii="Times New Roman" w:hAnsi="Times New Roman" w:eastAsia="宋体"/>
          <w:b w:val="0"/>
          <w:i/>
          <w:color w:val="666666"/>
          <w:sz w:val="16"/>
        </w:rPr>
        <w:t>资料来源：</w:t>
      </w:r>
      <w:r>
        <w:rPr>
          <w:rFonts w:ascii="Times New Roman" w:hAnsi="Times New Roman" w:eastAsia="宋体"/>
          <w:b w:val="0"/>
          <w:i/>
          <w:color w:val="666666"/>
          <w:sz w:val="16"/>
        </w:rPr>
        <w:t>2026Q1 致股东信及业绩电话会（2026 年 5 月 13 日）。</w:t>
      </w:r>
      <w:hyperlink r:id="rId9">
        <w:r>
          <w:rPr>
            <w:rFonts w:ascii="Times New Roman" w:hAnsi="Times New Roman" w:eastAsia="宋体"/>
            <w:color w:val="1F6FEB"/>
            <w:u w:val="single"/>
            <w:sz w:val="20"/>
          </w:rPr>
          <w:t>Nebius 投资者关系</w:t>
        </w:r>
      </w:hyperlink>
      <w:r>
        <w:rPr>
          <w:rFonts w:ascii="Times New Roman" w:hAnsi="Times New Roman" w:eastAsia="宋体"/>
          <w:b w:val="0"/>
          <w:i/>
          <w:color w:val="666666"/>
          <w:sz w:val="16"/>
        </w:rPr>
        <w:t>。</w:t>
      </w:r>
    </w:p>
    <w:p>
      <w:pPr>
        <w:spacing w:after="60" w:before="0"/>
      </w:pPr>
      <w:r>
        <w:rPr>
          <w:rFonts w:ascii="Times New Roman" w:hAnsi="Times New Roman" w:eastAsia="黑体"/>
          <w:b/>
          <w:i w:val="0"/>
          <w:color w:val="1F6FEB"/>
          <w:sz w:val="23"/>
        </w:rPr>
        <w:t>资本：93 亿美元现金，资本开支 &gt;90% 已落实</w:t>
      </w:r>
    </w:p>
    <w:p>
      <w:pPr>
        <w:spacing w:after="120" w:before="0"/>
      </w:pPr>
      <w:r>
        <w:rPr>
          <w:rFonts w:ascii="Times New Roman" w:hAnsi="Times New Roman" w:eastAsia="宋体"/>
          <w:b w:val="0"/>
          <w:i w:val="0"/>
          <w:sz w:val="21"/>
        </w:rPr>
        <w:t>本季度 Nebius 融资超 60 亿美元——约 43 亿美元可转换优先票据（票息 1.25%–2.60%）及英伟达 20 亿美元股权投资——季末持有现金 93 亿美元，对应非流动负债 84 亿美元。经营性现金流强劲转正至 +23 亿美元。管理层表示，当前计划资本开支的 &gt;90% 已由现金与合约承诺锁定，显著降低了 2026–27 年建设的资金风险。</w:t>
      </w:r>
    </w:p>
    <w:p>
      <w:pPr>
        <w:jc w:val="center"/>
      </w:pPr>
      <w:r>
        <w:drawing>
          <wp:inline xmlns:a="http://schemas.openxmlformats.org/drawingml/2006/main" xmlns:pic="http://schemas.openxmlformats.org/drawingml/2006/picture">
            <wp:extent cx="5394960" cy="3032815"/>
            <wp:docPr id="6" name="Picture 6"/>
            <wp:cNvGraphicFramePr>
              <a:graphicFrameLocks noChangeAspect="1"/>
            </wp:cNvGraphicFramePr>
            <a:graphic>
              <a:graphicData uri="http://schemas.openxmlformats.org/drawingml/2006/picture">
                <pic:pic>
                  <pic:nvPicPr>
                    <pic:cNvPr id="0" name="nbis_chart6_liquidity.png"/>
                    <pic:cNvPicPr/>
                  </pic:nvPicPr>
                  <pic:blipFill>
                    <a:blip r:embed="rId17"/>
                    <a:stretch>
                      <a:fillRect/>
                    </a:stretch>
                  </pic:blipFill>
                  <pic:spPr>
                    <a:xfrm>
                      <a:off x="0" y="0"/>
                      <a:ext cx="5394960" cy="3032815"/>
                    </a:xfrm>
                    <a:prstGeom prst="rect"/>
                  </pic:spPr>
                </pic:pic>
              </a:graphicData>
            </a:graphic>
          </wp:inline>
        </w:drawing>
      </w:r>
    </w:p>
    <w:p>
      <w:pPr>
        <w:spacing w:after="200"/>
      </w:pPr>
      <w:r>
        <w:rPr>
          <w:rFonts w:ascii="Times New Roman" w:hAnsi="Times New Roman" w:eastAsia="宋体"/>
          <w:b w:val="0"/>
          <w:i/>
          <w:color w:val="666666"/>
          <w:sz w:val="16"/>
        </w:rPr>
        <w:t>资料来源：</w:t>
      </w:r>
      <w:r>
        <w:rPr>
          <w:rFonts w:ascii="Times New Roman" w:hAnsi="Times New Roman" w:eastAsia="宋体"/>
          <w:b w:val="0"/>
          <w:i/>
          <w:color w:val="666666"/>
          <w:sz w:val="16"/>
        </w:rPr>
        <w:t>2026Q1 6-K，现金流量与融资报表。</w:t>
      </w:r>
      <w:hyperlink r:id="rId11">
        <w:r>
          <w:rPr>
            <w:rFonts w:ascii="Times New Roman" w:hAnsi="Times New Roman" w:eastAsia="宋体"/>
            <w:color w:val="1F6FEB"/>
            <w:u w:val="single"/>
            <w:sz w:val="20"/>
          </w:rPr>
          <w:t>SEC EDGAR 6-K（2026 年 5 月 13 日）</w:t>
        </w:r>
      </w:hyperlink>
      <w:r>
        <w:rPr>
          <w:rFonts w:ascii="Times New Roman" w:hAnsi="Times New Roman" w:eastAsia="宋体"/>
          <w:b w:val="0"/>
          <w:i/>
          <w:color w:val="666666"/>
          <w:sz w:val="16"/>
        </w:rPr>
        <w:t>。</w:t>
      </w:r>
    </w:p>
    <w:p>
      <w:pPr>
        <w:spacing w:after="60" w:before="0"/>
      </w:pPr>
      <w:r>
        <w:rPr>
          <w:rFonts w:ascii="Times New Roman" w:hAnsi="Times New Roman" w:eastAsia="黑体"/>
          <w:b/>
          <w:i w:val="0"/>
          <w:color w:val="1F6FEB"/>
          <w:sz w:val="23"/>
        </w:rPr>
        <w:t>Meta 与英伟达两大战略锚点</w:t>
      </w:r>
    </w:p>
    <w:p>
      <w:pPr>
        <w:pStyle w:val="ListBullet"/>
        <w:spacing w:after="80"/>
      </w:pPr>
      <w:r>
        <w:rPr>
          <w:rFonts w:ascii="Times New Roman" w:hAnsi="Times New Roman" w:eastAsia="宋体"/>
          <w:b/>
          <w:i w:val="0"/>
          <w:sz w:val="21"/>
        </w:rPr>
        <w:t>Meta —— 270 亿美元 / 5 年：</w:t>
      </w:r>
      <w:r>
        <w:rPr>
          <w:rFonts w:ascii="Times New Roman" w:hAnsi="Times New Roman" w:eastAsia="宋体"/>
          <w:b w:val="0"/>
          <w:i w:val="0"/>
          <w:sz w:val="21"/>
        </w:rPr>
        <w:t>其中 120 亿美元为专用算力承诺，另有 150 亿美元可选产能，Nebius 可按市场价转售给 AI 云客户，并由 Meta 兜底——构成资产支持融资的顺风因素。</w:t>
      </w:r>
    </w:p>
    <w:p>
      <w:pPr>
        <w:pStyle w:val="ListBullet"/>
        <w:spacing w:after="80"/>
      </w:pPr>
      <w:r>
        <w:rPr>
          <w:rFonts w:ascii="Times New Roman" w:hAnsi="Times New Roman" w:eastAsia="宋体"/>
          <w:b/>
          <w:i w:val="0"/>
          <w:sz w:val="21"/>
        </w:rPr>
        <w:t>英伟达 —— 20 亿股权 + “优先建设方”地位：</w:t>
      </w:r>
      <w:r>
        <w:rPr>
          <w:rFonts w:ascii="Times New Roman" w:hAnsi="Times New Roman" w:eastAsia="宋体"/>
          <w:b w:val="0"/>
          <w:i w:val="0"/>
          <w:sz w:val="21"/>
        </w:rPr>
        <w:t>在 GB300 上获得训练 Exemplar Cloud 认证，并对未来 Vera Rubin / CPU 平台拥有差异化获取权，强化供给优先级。</w:t>
      </w:r>
    </w:p>
    <w:p>
      <w:pPr>
        <w:pStyle w:val="ListBullet"/>
        <w:spacing w:after="80"/>
      </w:pPr>
      <w:r>
        <w:rPr>
          <w:rFonts w:ascii="Times New Roman" w:hAnsi="Times New Roman" w:eastAsia="宋体"/>
          <w:b/>
          <w:i w:val="0"/>
          <w:sz w:val="21"/>
        </w:rPr>
        <w:t>补强型并购：</w:t>
      </w:r>
      <w:r>
        <w:rPr>
          <w:rFonts w:ascii="Times New Roman" w:hAnsi="Times New Roman" w:eastAsia="宋体"/>
          <w:b w:val="0"/>
          <w:i w:val="0"/>
          <w:sz w:val="21"/>
        </w:rPr>
        <w:t>收购 Tavily、Eigen AI 与 Clarifai，以加速推理 / 智能体路线图（Token Factory）——重在人才与技术，而非独立营收。</w:t>
      </w:r>
    </w:p>
    <w:p>
      <w:r>
        <w:br w:type="page"/>
      </w:r>
    </w:p>
    <w:p>
      <w:pPr>
        <w:spacing w:after="80" w:before="200"/>
      </w:pPr>
      <w:r>
        <w:rPr>
          <w:rFonts w:ascii="Times New Roman" w:hAnsi="Times New Roman" w:eastAsia="黑体"/>
          <w:b/>
          <w:i w:val="0"/>
          <w:color w:val="0B2545"/>
          <w:sz w:val="28"/>
        </w:rPr>
        <w:t>三、指引与更新后预测</w:t>
      </w:r>
    </w:p>
    <w:p>
      <w:pPr>
        <w:spacing w:after="60" w:before="0"/>
      </w:pPr>
      <w:r>
        <w:rPr>
          <w:rFonts w:ascii="Times New Roman" w:hAnsi="Times New Roman" w:eastAsia="黑体"/>
          <w:b/>
          <w:i w:val="0"/>
          <w:color w:val="1F6FEB"/>
          <w:sz w:val="23"/>
        </w:rPr>
        <w:t>重申 2026 全年指引；上调资本开支</w:t>
      </w:r>
    </w:p>
    <w:p>
      <w:pPr>
        <w:spacing w:after="120" w:before="0"/>
      </w:pPr>
      <w:r>
        <w:rPr>
          <w:rFonts w:ascii="Times New Roman" w:hAnsi="Times New Roman" w:eastAsia="宋体"/>
          <w:b w:val="0"/>
          <w:i w:val="0"/>
          <w:sz w:val="21"/>
        </w:rPr>
        <w:t>管理层重申 2026 全年目标：退出期 ARR 70–90 亿美元、集团营收 30–34 亿美元、集团调整后 EBITDA 利润率约 40%，同时将 2026 年资本开支由 160–200 亿上调至 200–250 亿美元。此次上调用于增量 2027 年产能，相关收入将自 2027 上半年开始贡献——即针对已签约需求的增长性资本开支，而非投机性投入。受产能后置部署影响，二季度利润率指引走低，三季度回到一季度水平，四季度更高。</w:t>
      </w:r>
    </w:p>
    <w:p>
      <w:pPr>
        <w:jc w:val="center"/>
      </w:pPr>
      <w:r>
        <w:drawing>
          <wp:inline xmlns:a="http://schemas.openxmlformats.org/drawingml/2006/main" xmlns:pic="http://schemas.openxmlformats.org/drawingml/2006/picture">
            <wp:extent cx="4023360" cy="2254637"/>
            <wp:docPr id="7" name="Picture 7"/>
            <wp:cNvGraphicFramePr>
              <a:graphicFrameLocks noChangeAspect="1"/>
            </wp:cNvGraphicFramePr>
            <a:graphic>
              <a:graphicData uri="http://schemas.openxmlformats.org/drawingml/2006/picture">
                <pic:pic>
                  <pic:nvPicPr>
                    <pic:cNvPr id="0" name="nbis_chart7_capex.png"/>
                    <pic:cNvPicPr/>
                  </pic:nvPicPr>
                  <pic:blipFill>
                    <a:blip r:embed="rId18"/>
                    <a:stretch>
                      <a:fillRect/>
                    </a:stretch>
                  </pic:blipFill>
                  <pic:spPr>
                    <a:xfrm>
                      <a:off x="0" y="0"/>
                      <a:ext cx="4023360" cy="2254637"/>
                    </a:xfrm>
                    <a:prstGeom prst="rect"/>
                  </pic:spPr>
                </pic:pic>
              </a:graphicData>
            </a:graphic>
          </wp:inline>
        </w:drawing>
      </w:r>
    </w:p>
    <w:p>
      <w:pPr>
        <w:spacing w:after="200"/>
      </w:pPr>
      <w:r>
        <w:rPr>
          <w:rFonts w:ascii="Times New Roman" w:hAnsi="Times New Roman" w:eastAsia="宋体"/>
          <w:b w:val="0"/>
          <w:i/>
          <w:color w:val="666666"/>
          <w:sz w:val="16"/>
        </w:rPr>
        <w:t>资料来源：</w:t>
      </w:r>
      <w:r>
        <w:rPr>
          <w:rFonts w:ascii="Times New Roman" w:hAnsi="Times New Roman" w:eastAsia="宋体"/>
          <w:b w:val="0"/>
          <w:i/>
          <w:color w:val="666666"/>
          <w:sz w:val="16"/>
        </w:rPr>
        <w:t>2026Q1 业绩电话会与致股东信（2026 年 5 月 13 日）。</w:t>
      </w:r>
    </w:p>
    <w:p>
      <w:pPr>
        <w:jc w:val="center"/>
      </w:pPr>
      <w:r>
        <w:drawing>
          <wp:inline xmlns:a="http://schemas.openxmlformats.org/drawingml/2006/main" xmlns:pic="http://schemas.openxmlformats.org/drawingml/2006/picture">
            <wp:extent cx="5212080" cy="2862974"/>
            <wp:docPr id="8" name="Picture 8"/>
            <wp:cNvGraphicFramePr>
              <a:graphicFrameLocks noChangeAspect="1"/>
            </wp:cNvGraphicFramePr>
            <a:graphic>
              <a:graphicData uri="http://schemas.openxmlformats.org/drawingml/2006/picture">
                <pic:pic>
                  <pic:nvPicPr>
                    <pic:cNvPr id="0" name="nbis_chart8_guidance.png"/>
                    <pic:cNvPicPr/>
                  </pic:nvPicPr>
                  <pic:blipFill>
                    <a:blip r:embed="rId19"/>
                    <a:stretch>
                      <a:fillRect/>
                    </a:stretch>
                  </pic:blipFill>
                  <pic:spPr>
                    <a:xfrm>
                      <a:off x="0" y="0"/>
                      <a:ext cx="5212080" cy="2862974"/>
                    </a:xfrm>
                    <a:prstGeom prst="rect"/>
                  </pic:spPr>
                </pic:pic>
              </a:graphicData>
            </a:graphic>
          </wp:inline>
        </w:drawing>
      </w:r>
    </w:p>
    <w:p>
      <w:pPr>
        <w:spacing w:after="200"/>
      </w:pPr>
      <w:r>
        <w:rPr>
          <w:rFonts w:ascii="Times New Roman" w:hAnsi="Times New Roman" w:eastAsia="宋体"/>
          <w:b w:val="0"/>
          <w:i/>
          <w:color w:val="666666"/>
          <w:sz w:val="16"/>
        </w:rPr>
        <w:t>资料来源：</w:t>
      </w:r>
      <w:r>
        <w:rPr>
          <w:rFonts w:ascii="Times New Roman" w:hAnsi="Times New Roman" w:eastAsia="宋体"/>
          <w:b w:val="0"/>
          <w:i/>
          <w:color w:val="666666"/>
          <w:sz w:val="16"/>
        </w:rPr>
        <w:t>2026Q1 业绩电话会，管理层指引（重申）。</w:t>
      </w:r>
      <w:hyperlink r:id="rId20">
        <w:r>
          <w:rPr>
            <w:rFonts w:ascii="Times New Roman" w:hAnsi="Times New Roman" w:eastAsia="宋体"/>
            <w:color w:val="1F6FEB"/>
            <w:u w:val="single"/>
            <w:sz w:val="20"/>
          </w:rPr>
          <w:t>The Motley Fool 电话会纪要</w:t>
        </w:r>
      </w:hyperlink>
      <w:r>
        <w:rPr>
          <w:rFonts w:ascii="Times New Roman" w:hAnsi="Times New Roman" w:eastAsia="宋体"/>
          <w:b w:val="0"/>
          <w:i/>
          <w:color w:val="666666"/>
          <w:sz w:val="16"/>
        </w:rPr>
        <w:t>。</w:t>
      </w:r>
    </w:p>
    <w:p>
      <w:pPr>
        <w:spacing w:after="60" w:before="80"/>
      </w:pPr>
      <w:r>
        <w:rPr>
          <w:rFonts w:ascii="Times New Roman" w:hAnsi="Times New Roman" w:eastAsia="黑体"/>
          <w:b/>
          <w:i w:val="0"/>
          <w:color w:val="1F6FEB"/>
          <w:sz w:val="23"/>
        </w:rPr>
        <w:t>更新后预测（旧 vs 新）</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shd w:val="clear" w:color="auto" w:fill="0B2545"/>
          </w:tcPr>
          <w:p>
            <w:pPr>
              <w:spacing w:after="20" w:before="20"/>
              <w:jc w:val="center"/>
            </w:pPr>
            <w:r/>
            <w:r>
              <w:rPr>
                <w:rFonts w:ascii="Times New Roman" w:hAnsi="Times New Roman" w:eastAsia="黑体"/>
                <w:b/>
                <w:i w:val="0"/>
                <w:color w:val="FFFFFF"/>
                <w:sz w:val="19"/>
              </w:rPr>
              <w:t>预测项</w:t>
            </w:r>
          </w:p>
        </w:tc>
        <w:tc>
          <w:tcPr>
            <w:tcW w:type="dxa" w:w="1987"/>
            <w:shd w:val="clear" w:color="auto" w:fill="0B2545"/>
          </w:tcPr>
          <w:p>
            <w:pPr>
              <w:spacing w:after="20" w:before="20"/>
              <w:jc w:val="center"/>
            </w:pPr>
            <w:r/>
            <w:r>
              <w:rPr>
                <w:rFonts w:ascii="Times New Roman" w:hAnsi="Times New Roman" w:eastAsia="黑体"/>
                <w:b/>
                <w:i w:val="0"/>
                <w:color w:val="FFFFFF"/>
                <w:sz w:val="19"/>
              </w:rPr>
              <w:t>旧值</w:t>
            </w:r>
          </w:p>
        </w:tc>
        <w:tc>
          <w:tcPr>
            <w:tcW w:type="dxa" w:w="1987"/>
            <w:shd w:val="clear" w:color="auto" w:fill="0B2545"/>
          </w:tcPr>
          <w:p>
            <w:pPr>
              <w:spacing w:after="20" w:before="20"/>
              <w:jc w:val="center"/>
            </w:pPr>
            <w:r/>
            <w:r>
              <w:rPr>
                <w:rFonts w:ascii="Times New Roman" w:hAnsi="Times New Roman" w:eastAsia="黑体"/>
                <w:b/>
                <w:i w:val="0"/>
                <w:color w:val="FFFFFF"/>
                <w:sz w:val="19"/>
              </w:rPr>
              <w:t>新值</w:t>
            </w:r>
          </w:p>
        </w:tc>
        <w:tc>
          <w:tcPr>
            <w:tcW w:type="dxa" w:w="1987"/>
            <w:shd w:val="clear" w:color="auto" w:fill="0B2545"/>
          </w:tcPr>
          <w:p>
            <w:pPr>
              <w:spacing w:after="20" w:before="20"/>
              <w:jc w:val="center"/>
            </w:pPr>
            <w:r/>
            <w:r>
              <w:rPr>
                <w:rFonts w:ascii="Times New Roman" w:hAnsi="Times New Roman" w:eastAsia="黑体"/>
                <w:b/>
                <w:i w:val="0"/>
                <w:color w:val="FFFFFF"/>
                <w:sz w:val="19"/>
              </w:rPr>
              <w:t>变动</w:t>
            </w:r>
          </w:p>
        </w:tc>
        <w:tc>
          <w:tcPr>
            <w:tcW w:type="dxa" w:w="1987"/>
            <w:shd w:val="clear" w:color="auto" w:fill="0B2545"/>
          </w:tcPr>
          <w:p>
            <w:pPr>
              <w:spacing w:after="20" w:before="20"/>
              <w:jc w:val="center"/>
            </w:pPr>
            <w:r/>
            <w:r>
              <w:rPr>
                <w:rFonts w:ascii="Times New Roman" w:hAnsi="Times New Roman" w:eastAsia="黑体"/>
                <w:b/>
                <w:i w:val="0"/>
                <w:color w:val="FFFFFF"/>
                <w:sz w:val="19"/>
              </w:rPr>
              <w:t>驱动因素</w:t>
            </w:r>
          </w:p>
        </w:tc>
      </w:tr>
      <w:tr>
        <w:tc>
          <w:tcPr>
            <w:tcW w:type="dxa" w:w="1987"/>
          </w:tcPr>
          <w:p>
            <w:pPr>
              <w:spacing w:after="20" w:before="20"/>
              <w:jc w:val="left"/>
            </w:pPr>
            <w:r/>
            <w:r>
              <w:rPr>
                <w:rFonts w:ascii="Times New Roman" w:hAnsi="Times New Roman" w:eastAsia="宋体"/>
                <w:b/>
                <w:i w:val="0"/>
                <w:sz w:val="18"/>
              </w:rPr>
              <w:t>2026E 营收</w:t>
            </w:r>
          </w:p>
        </w:tc>
        <w:tc>
          <w:tcPr>
            <w:tcW w:type="dxa" w:w="1987"/>
          </w:tcPr>
          <w:p>
            <w:pPr>
              <w:spacing w:after="20" w:before="20"/>
              <w:jc w:val="center"/>
            </w:pPr>
            <w:r/>
            <w:r>
              <w:rPr>
                <w:rFonts w:ascii="Times New Roman" w:hAnsi="Times New Roman" w:eastAsia="宋体"/>
                <w:b w:val="0"/>
                <w:i w:val="0"/>
                <w:sz w:val="18"/>
              </w:rPr>
              <w:t>31 亿</w:t>
            </w:r>
          </w:p>
        </w:tc>
        <w:tc>
          <w:tcPr>
            <w:tcW w:type="dxa" w:w="1987"/>
          </w:tcPr>
          <w:p>
            <w:pPr>
              <w:spacing w:after="20" w:before="20"/>
              <w:jc w:val="center"/>
            </w:pPr>
            <w:r/>
            <w:r>
              <w:rPr>
                <w:rFonts w:ascii="Times New Roman" w:hAnsi="Times New Roman" w:eastAsia="宋体"/>
                <w:b w:val="0"/>
                <w:i w:val="0"/>
                <w:sz w:val="18"/>
              </w:rPr>
              <w:t>33 亿</w:t>
            </w:r>
          </w:p>
        </w:tc>
        <w:tc>
          <w:tcPr>
            <w:tcW w:type="dxa" w:w="1987"/>
          </w:tcPr>
          <w:p>
            <w:pPr>
              <w:spacing w:after="20" w:before="20"/>
              <w:jc w:val="center"/>
            </w:pPr>
            <w:r/>
            <w:r>
              <w:rPr>
                <w:rFonts w:ascii="Times New Roman" w:hAnsi="Times New Roman" w:eastAsia="宋体"/>
                <w:b w:val="0"/>
                <w:i w:val="0"/>
                <w:sz w:val="18"/>
              </w:rPr>
              <w:t>+6%</w:t>
            </w:r>
          </w:p>
        </w:tc>
        <w:tc>
          <w:tcPr>
            <w:tcW w:type="dxa" w:w="1987"/>
          </w:tcPr>
          <w:p>
            <w:pPr>
              <w:spacing w:after="20" w:before="20"/>
              <w:jc w:val="left"/>
            </w:pPr>
            <w:r/>
            <w:r>
              <w:rPr>
                <w:rFonts w:ascii="Times New Roman" w:hAnsi="Times New Roman" w:eastAsia="宋体"/>
                <w:b w:val="0"/>
                <w:i w:val="0"/>
                <w:sz w:val="18"/>
              </w:rPr>
              <w:t>产能上线更快；利用率售罄</w:t>
            </w:r>
          </w:p>
        </w:tc>
      </w:tr>
      <w:tr>
        <w:tc>
          <w:tcPr>
            <w:tcW w:type="dxa" w:w="1987"/>
          </w:tcPr>
          <w:p>
            <w:pPr>
              <w:spacing w:after="20" w:before="20"/>
              <w:jc w:val="left"/>
            </w:pPr>
            <w:r/>
            <w:r>
              <w:rPr>
                <w:rFonts w:ascii="Times New Roman" w:hAnsi="Times New Roman" w:eastAsia="宋体"/>
                <w:b/>
                <w:i w:val="0"/>
                <w:sz w:val="18"/>
              </w:rPr>
              <w:t>2026E 退出期 ARR</w:t>
            </w:r>
          </w:p>
        </w:tc>
        <w:tc>
          <w:tcPr>
            <w:tcW w:type="dxa" w:w="1987"/>
          </w:tcPr>
          <w:p>
            <w:pPr>
              <w:spacing w:after="20" w:before="20"/>
              <w:jc w:val="center"/>
            </w:pPr>
            <w:r/>
            <w:r>
              <w:rPr>
                <w:rFonts w:ascii="Times New Roman" w:hAnsi="Times New Roman" w:eastAsia="宋体"/>
                <w:b w:val="0"/>
                <w:i w:val="0"/>
                <w:sz w:val="18"/>
              </w:rPr>
              <w:t>75 亿</w:t>
            </w:r>
          </w:p>
        </w:tc>
        <w:tc>
          <w:tcPr>
            <w:tcW w:type="dxa" w:w="1987"/>
          </w:tcPr>
          <w:p>
            <w:pPr>
              <w:spacing w:after="20" w:before="20"/>
              <w:jc w:val="center"/>
            </w:pPr>
            <w:r/>
            <w:r>
              <w:rPr>
                <w:rFonts w:ascii="Times New Roman" w:hAnsi="Times New Roman" w:eastAsia="宋体"/>
                <w:b w:val="0"/>
                <w:i w:val="0"/>
                <w:sz w:val="18"/>
              </w:rPr>
              <w:t>85 亿</w:t>
            </w:r>
          </w:p>
        </w:tc>
        <w:tc>
          <w:tcPr>
            <w:tcW w:type="dxa" w:w="1987"/>
          </w:tcPr>
          <w:p>
            <w:pPr>
              <w:spacing w:after="20" w:before="20"/>
              <w:jc w:val="center"/>
            </w:pPr>
            <w:r/>
            <w:r>
              <w:rPr>
                <w:rFonts w:ascii="Times New Roman" w:hAnsi="Times New Roman" w:eastAsia="宋体"/>
                <w:b w:val="0"/>
                <w:i w:val="0"/>
                <w:sz w:val="18"/>
              </w:rPr>
              <w:t>+13%</w:t>
            </w:r>
          </w:p>
        </w:tc>
        <w:tc>
          <w:tcPr>
            <w:tcW w:type="dxa" w:w="1987"/>
          </w:tcPr>
          <w:p>
            <w:pPr>
              <w:spacing w:after="20" w:before="20"/>
              <w:jc w:val="left"/>
            </w:pPr>
            <w:r/>
            <w:r>
              <w:rPr>
                <w:rFonts w:ascii="Times New Roman" w:hAnsi="Times New Roman" w:eastAsia="宋体"/>
                <w:b w:val="0"/>
                <w:i w:val="0"/>
                <w:sz w:val="18"/>
              </w:rPr>
              <w:t>管道环比 +3.5 倍；提价</w:t>
            </w:r>
          </w:p>
        </w:tc>
      </w:tr>
      <w:tr>
        <w:tc>
          <w:tcPr>
            <w:tcW w:type="dxa" w:w="1987"/>
          </w:tcPr>
          <w:p>
            <w:pPr>
              <w:spacing w:after="20" w:before="20"/>
              <w:jc w:val="left"/>
            </w:pPr>
            <w:r/>
            <w:r>
              <w:rPr>
                <w:rFonts w:ascii="Times New Roman" w:hAnsi="Times New Roman" w:eastAsia="宋体"/>
                <w:b/>
                <w:i w:val="0"/>
                <w:sz w:val="18"/>
              </w:rPr>
              <w:t>2026E 集团调整后 EBITDA 利润率</w:t>
            </w:r>
          </w:p>
        </w:tc>
        <w:tc>
          <w:tcPr>
            <w:tcW w:type="dxa" w:w="1987"/>
          </w:tcPr>
          <w:p>
            <w:pPr>
              <w:spacing w:after="20" w:before="20"/>
              <w:jc w:val="center"/>
            </w:pPr>
            <w:r/>
            <w:r>
              <w:rPr>
                <w:rFonts w:ascii="Times New Roman" w:hAnsi="Times New Roman" w:eastAsia="宋体"/>
                <w:b w:val="0"/>
                <w:i w:val="0"/>
                <w:sz w:val="18"/>
              </w:rPr>
              <w:t>约 35%</w:t>
            </w:r>
          </w:p>
        </w:tc>
        <w:tc>
          <w:tcPr>
            <w:tcW w:type="dxa" w:w="1987"/>
          </w:tcPr>
          <w:p>
            <w:pPr>
              <w:spacing w:after="20" w:before="20"/>
              <w:jc w:val="center"/>
            </w:pPr>
            <w:r/>
            <w:r>
              <w:rPr>
                <w:rFonts w:ascii="Times New Roman" w:hAnsi="Times New Roman" w:eastAsia="宋体"/>
                <w:b w:val="0"/>
                <w:i w:val="0"/>
                <w:sz w:val="18"/>
              </w:rPr>
              <w:t>约 40%</w:t>
            </w:r>
          </w:p>
        </w:tc>
        <w:tc>
          <w:tcPr>
            <w:tcW w:type="dxa" w:w="1987"/>
          </w:tcPr>
          <w:p>
            <w:pPr>
              <w:spacing w:after="20" w:before="20"/>
              <w:jc w:val="center"/>
            </w:pPr>
            <w:r/>
            <w:r>
              <w:rPr>
                <w:rFonts w:ascii="Times New Roman" w:hAnsi="Times New Roman" w:eastAsia="宋体"/>
                <w:b w:val="0"/>
                <w:i w:val="0"/>
                <w:sz w:val="18"/>
              </w:rPr>
              <w:t>+5 个百分点</w:t>
            </w:r>
          </w:p>
        </w:tc>
        <w:tc>
          <w:tcPr>
            <w:tcW w:type="dxa" w:w="1987"/>
          </w:tcPr>
          <w:p>
            <w:pPr>
              <w:spacing w:after="20" w:before="20"/>
              <w:jc w:val="left"/>
            </w:pPr>
            <w:r/>
            <w:r>
              <w:rPr>
                <w:rFonts w:ascii="Times New Roman" w:hAnsi="Times New Roman" w:eastAsia="宋体"/>
                <w:b w:val="0"/>
                <w:i w:val="0"/>
                <w:sz w:val="18"/>
              </w:rPr>
              <w:t>核心利润率拐点至 45%</w:t>
            </w:r>
          </w:p>
        </w:tc>
      </w:tr>
      <w:tr>
        <w:tc>
          <w:tcPr>
            <w:tcW w:type="dxa" w:w="1987"/>
          </w:tcPr>
          <w:p>
            <w:pPr>
              <w:spacing w:after="20" w:before="20"/>
              <w:jc w:val="left"/>
            </w:pPr>
            <w:r/>
            <w:r>
              <w:rPr>
                <w:rFonts w:ascii="Times New Roman" w:hAnsi="Times New Roman" w:eastAsia="宋体"/>
                <w:b/>
                <w:i w:val="0"/>
                <w:sz w:val="18"/>
              </w:rPr>
              <w:t>2027E 营收</w:t>
            </w:r>
          </w:p>
        </w:tc>
        <w:tc>
          <w:tcPr>
            <w:tcW w:type="dxa" w:w="1987"/>
          </w:tcPr>
          <w:p>
            <w:pPr>
              <w:spacing w:after="20" w:before="20"/>
              <w:jc w:val="center"/>
            </w:pPr>
            <w:r/>
            <w:r>
              <w:rPr>
                <w:rFonts w:ascii="Times New Roman" w:hAnsi="Times New Roman" w:eastAsia="宋体"/>
                <w:b w:val="0"/>
                <w:i w:val="0"/>
                <w:sz w:val="18"/>
              </w:rPr>
              <w:t>85 亿</w:t>
            </w:r>
          </w:p>
        </w:tc>
        <w:tc>
          <w:tcPr>
            <w:tcW w:type="dxa" w:w="1987"/>
          </w:tcPr>
          <w:p>
            <w:pPr>
              <w:spacing w:after="20" w:before="20"/>
              <w:jc w:val="center"/>
            </w:pPr>
            <w:r/>
            <w:r>
              <w:rPr>
                <w:rFonts w:ascii="Times New Roman" w:hAnsi="Times New Roman" w:eastAsia="宋体"/>
                <w:b w:val="0"/>
                <w:i w:val="0"/>
                <w:sz w:val="18"/>
              </w:rPr>
              <w:t>105 亿</w:t>
            </w:r>
          </w:p>
        </w:tc>
        <w:tc>
          <w:tcPr>
            <w:tcW w:type="dxa" w:w="1987"/>
          </w:tcPr>
          <w:p>
            <w:pPr>
              <w:spacing w:after="20" w:before="20"/>
              <w:jc w:val="center"/>
            </w:pPr>
            <w:r/>
            <w:r>
              <w:rPr>
                <w:rFonts w:ascii="Times New Roman" w:hAnsi="Times New Roman" w:eastAsia="宋体"/>
                <w:b w:val="0"/>
                <w:i w:val="0"/>
                <w:sz w:val="18"/>
              </w:rPr>
              <w:t>+24%</w:t>
            </w:r>
          </w:p>
        </w:tc>
        <w:tc>
          <w:tcPr>
            <w:tcW w:type="dxa" w:w="1987"/>
          </w:tcPr>
          <w:p>
            <w:pPr>
              <w:spacing w:after="20" w:before="20"/>
              <w:jc w:val="left"/>
            </w:pPr>
            <w:r/>
            <w:r>
              <w:rPr>
                <w:rFonts w:ascii="Times New Roman" w:hAnsi="Times New Roman" w:eastAsia="宋体"/>
                <w:b w:val="0"/>
                <w:i w:val="0"/>
                <w:sz w:val="18"/>
              </w:rPr>
              <w:t>提前布局的 2027 产能（宾/阿/密）</w:t>
            </w:r>
          </w:p>
        </w:tc>
      </w:tr>
      <w:tr>
        <w:tc>
          <w:tcPr>
            <w:tcW w:type="dxa" w:w="1987"/>
          </w:tcPr>
          <w:p>
            <w:pPr>
              <w:spacing w:after="20" w:before="20"/>
              <w:jc w:val="left"/>
            </w:pPr>
            <w:r/>
            <w:r>
              <w:rPr>
                <w:rFonts w:ascii="Times New Roman" w:hAnsi="Times New Roman" w:eastAsia="宋体"/>
                <w:b/>
                <w:i w:val="0"/>
                <w:sz w:val="18"/>
              </w:rPr>
              <w:t>2026E 资本开支</w:t>
            </w:r>
          </w:p>
        </w:tc>
        <w:tc>
          <w:tcPr>
            <w:tcW w:type="dxa" w:w="1987"/>
          </w:tcPr>
          <w:p>
            <w:pPr>
              <w:spacing w:after="20" w:before="20"/>
              <w:jc w:val="center"/>
            </w:pPr>
            <w:r/>
            <w:r>
              <w:rPr>
                <w:rFonts w:ascii="Times New Roman" w:hAnsi="Times New Roman" w:eastAsia="宋体"/>
                <w:b w:val="0"/>
                <w:i w:val="0"/>
                <w:sz w:val="18"/>
              </w:rPr>
              <w:t>180 亿</w:t>
            </w:r>
          </w:p>
        </w:tc>
        <w:tc>
          <w:tcPr>
            <w:tcW w:type="dxa" w:w="1987"/>
          </w:tcPr>
          <w:p>
            <w:pPr>
              <w:spacing w:after="20" w:before="20"/>
              <w:jc w:val="center"/>
            </w:pPr>
            <w:r/>
            <w:r>
              <w:rPr>
                <w:rFonts w:ascii="Times New Roman" w:hAnsi="Times New Roman" w:eastAsia="宋体"/>
                <w:b w:val="0"/>
                <w:i w:val="0"/>
                <w:sz w:val="18"/>
              </w:rPr>
              <w:t>225 亿</w:t>
            </w:r>
          </w:p>
        </w:tc>
        <w:tc>
          <w:tcPr>
            <w:tcW w:type="dxa" w:w="1987"/>
          </w:tcPr>
          <w:p>
            <w:pPr>
              <w:spacing w:after="20" w:before="20"/>
              <w:jc w:val="center"/>
            </w:pPr>
            <w:r/>
            <w:r>
              <w:rPr>
                <w:rFonts w:ascii="Times New Roman" w:hAnsi="Times New Roman" w:eastAsia="宋体"/>
                <w:b w:val="0"/>
                <w:i w:val="0"/>
                <w:sz w:val="18"/>
              </w:rPr>
              <w:t>+25%</w:t>
            </w:r>
          </w:p>
        </w:tc>
        <w:tc>
          <w:tcPr>
            <w:tcW w:type="dxa" w:w="1987"/>
          </w:tcPr>
          <w:p>
            <w:pPr>
              <w:spacing w:after="20" w:before="20"/>
              <w:jc w:val="left"/>
            </w:pPr>
            <w:r/>
            <w:r>
              <w:rPr>
                <w:rFonts w:ascii="Times New Roman" w:hAnsi="Times New Roman" w:eastAsia="宋体"/>
                <w:b w:val="0"/>
                <w:i w:val="0"/>
                <w:sz w:val="18"/>
              </w:rPr>
              <w:t>针对已签约需求的增长性开支</w:t>
            </w:r>
          </w:p>
        </w:tc>
      </w:tr>
    </w:tbl>
    <w:p>
      <w:pPr>
        <w:spacing w:after="200"/>
      </w:pPr>
      <w:r>
        <w:rPr>
          <w:rFonts w:ascii="Times New Roman" w:hAnsi="Times New Roman" w:eastAsia="宋体"/>
          <w:b w:val="0"/>
          <w:i/>
          <w:color w:val="666666"/>
          <w:sz w:val="16"/>
        </w:rPr>
        <w:t>资料来源：</w:t>
      </w:r>
      <w:r>
        <w:rPr>
          <w:rFonts w:ascii="Times New Roman" w:hAnsi="Times New Roman" w:eastAsia="宋体"/>
          <w:b w:val="0"/>
          <w:i/>
          <w:color w:val="666666"/>
          <w:sz w:val="16"/>
        </w:rPr>
        <w:t>本机构预测（示意性），锚定于 2026Q1 新闻稿中公司重申的指引。</w:t>
      </w:r>
    </w:p>
    <w:p>
      <w:r>
        <w:br w:type="page"/>
      </w:r>
    </w:p>
    <w:p>
      <w:pPr>
        <w:spacing w:after="80" w:before="200"/>
      </w:pPr>
      <w:r>
        <w:rPr>
          <w:rFonts w:ascii="Times New Roman" w:hAnsi="Times New Roman" w:eastAsia="黑体"/>
          <w:b/>
          <w:i w:val="0"/>
          <w:color w:val="0B2545"/>
          <w:sz w:val="28"/>
        </w:rPr>
        <w:t>四、投资逻辑更新</w:t>
      </w:r>
    </w:p>
    <w:p>
      <w:pPr>
        <w:spacing w:after="60" w:before="0"/>
      </w:pPr>
      <w:r>
        <w:rPr>
          <w:rFonts w:ascii="Times New Roman" w:hAnsi="Times New Roman" w:eastAsia="黑体"/>
          <w:b/>
          <w:i w:val="0"/>
          <w:color w:val="1F6FEB"/>
          <w:sz w:val="23"/>
        </w:rPr>
        <w:t>逻辑完好且得到强化</w:t>
      </w:r>
    </w:p>
    <w:p>
      <w:pPr>
        <w:spacing w:after="120" w:before="0"/>
      </w:pPr>
      <w:r>
        <w:rPr>
          <w:rFonts w:ascii="Times New Roman" w:hAnsi="Times New Roman" w:eastAsia="宋体"/>
          <w:b w:val="0"/>
          <w:i w:val="0"/>
          <w:sz w:val="21"/>
        </w:rPr>
        <w:t>我们的核心逻辑——Nebius 是少数能够将稀缺 GPU 供给、自有电力与全栈软件转化为可持续、高利润 AI 基础设施收入的独立“新云”平台之一——本季度得到实质性强化。三大支柱均改善：</w:t>
      </w:r>
    </w:p>
    <w:p>
      <w:pPr>
        <w:pStyle w:val="ListBullet"/>
        <w:spacing w:after="80"/>
      </w:pPr>
      <w:r>
        <w:rPr>
          <w:rFonts w:ascii="Times New Roman" w:hAnsi="Times New Roman" w:eastAsia="宋体"/>
          <w:b/>
          <w:i w:val="0"/>
          <w:sz w:val="21"/>
        </w:rPr>
        <w:t>(1) 需求可见度：</w:t>
      </w:r>
      <w:r>
        <w:rPr>
          <w:rFonts w:ascii="Times New Roman" w:hAnsi="Times New Roman" w:eastAsia="宋体"/>
          <w:b w:val="0"/>
          <w:i w:val="0"/>
          <w:sz w:val="21"/>
        </w:rPr>
        <w:t>ARR 环比 +54% 至 19.2 亿美元，管道环比扩张 3.5 倍，确认需求超过供给；270 亿美元的 Meta 锚点为多年期产能提供承销保障。</w:t>
      </w:r>
    </w:p>
    <w:p>
      <w:pPr>
        <w:pStyle w:val="ListBullet"/>
        <w:spacing w:after="80"/>
      </w:pPr>
      <w:r>
        <w:rPr>
          <w:rFonts w:ascii="Times New Roman" w:hAnsi="Times New Roman" w:eastAsia="宋体"/>
          <w:b/>
          <w:i w:val="0"/>
          <w:sz w:val="21"/>
        </w:rPr>
        <w:t>(2) 单位经济性：</w:t>
      </w:r>
      <w:r>
        <w:rPr>
          <w:rFonts w:ascii="Times New Roman" w:hAnsi="Times New Roman" w:eastAsia="宋体"/>
          <w:b w:val="0"/>
          <w:i w:val="0"/>
          <w:sz w:val="21"/>
        </w:rPr>
        <w:t>45% 的核心 AI 云利润率与每兆瓦约 0.94 百万美元的 ARR 表明，随着产能填满，模型可实现盈利性扩张。</w:t>
      </w:r>
    </w:p>
    <w:p>
      <w:pPr>
        <w:pStyle w:val="ListBullet"/>
        <w:spacing w:after="80"/>
      </w:pPr>
      <w:r>
        <w:rPr>
          <w:rFonts w:ascii="Times New Roman" w:hAnsi="Times New Roman" w:eastAsia="宋体"/>
          <w:b/>
          <w:i w:val="0"/>
          <w:sz w:val="21"/>
        </w:rPr>
        <w:t>(3) 融资风险下降：</w:t>
      </w:r>
      <w:r>
        <w:rPr>
          <w:rFonts w:ascii="Times New Roman" w:hAnsi="Times New Roman" w:eastAsia="宋体"/>
          <w:b w:val="0"/>
          <w:i w:val="0"/>
          <w:sz w:val="21"/>
        </w:rPr>
        <w:t>93 亿美元现金与英伟达股权投资消除了困扰以租赁为主的竞争对手的融资悬顶。</w:t>
      </w:r>
    </w:p>
    <w:p>
      <w:pPr>
        <w:jc w:val="center"/>
      </w:pPr>
      <w:r>
        <w:drawing>
          <wp:inline xmlns:a="http://schemas.openxmlformats.org/drawingml/2006/main" xmlns:pic="http://schemas.openxmlformats.org/drawingml/2006/picture">
            <wp:extent cx="4846320" cy="2739224"/>
            <wp:docPr id="9" name="Picture 9"/>
            <wp:cNvGraphicFramePr>
              <a:graphicFrameLocks noChangeAspect="1"/>
            </wp:cNvGraphicFramePr>
            <a:graphic>
              <a:graphicData uri="http://schemas.openxmlformats.org/drawingml/2006/picture">
                <pic:pic>
                  <pic:nvPicPr>
                    <pic:cNvPr id="0" name="nbis_chart9_coremargin.png"/>
                    <pic:cNvPicPr/>
                  </pic:nvPicPr>
                  <pic:blipFill>
                    <a:blip r:embed="rId21"/>
                    <a:stretch>
                      <a:fillRect/>
                    </a:stretch>
                  </pic:blipFill>
                  <pic:spPr>
                    <a:xfrm>
                      <a:off x="0" y="0"/>
                      <a:ext cx="4846320" cy="2739224"/>
                    </a:xfrm>
                    <a:prstGeom prst="rect"/>
                  </pic:spPr>
                </pic:pic>
              </a:graphicData>
            </a:graphic>
          </wp:inline>
        </w:drawing>
      </w:r>
    </w:p>
    <w:p>
      <w:pPr>
        <w:spacing w:after="200"/>
      </w:pPr>
      <w:r>
        <w:rPr>
          <w:rFonts w:ascii="Times New Roman" w:hAnsi="Times New Roman" w:eastAsia="宋体"/>
          <w:b w:val="0"/>
          <w:i/>
          <w:color w:val="666666"/>
          <w:sz w:val="16"/>
        </w:rPr>
        <w:t>资料来源：</w:t>
      </w:r>
      <w:r>
        <w:rPr>
          <w:rFonts w:ascii="Times New Roman" w:hAnsi="Times New Roman" w:eastAsia="宋体"/>
          <w:b w:val="0"/>
          <w:i/>
          <w:color w:val="666666"/>
          <w:sz w:val="16"/>
        </w:rPr>
        <w:t>2026Q1 业绩新闻稿；核心 AI 云分部利润率。</w:t>
      </w:r>
      <w:hyperlink r:id="rId9">
        <w:r>
          <w:rPr>
            <w:rFonts w:ascii="Times New Roman" w:hAnsi="Times New Roman" w:eastAsia="宋体"/>
            <w:color w:val="1F6FEB"/>
            <w:u w:val="single"/>
            <w:sz w:val="20"/>
          </w:rPr>
          <w:t>Nebius 投资者关系</w:t>
        </w:r>
      </w:hyperlink>
      <w:r>
        <w:rPr>
          <w:rFonts w:ascii="Times New Roman" w:hAnsi="Times New Roman" w:eastAsia="宋体"/>
          <w:b w:val="0"/>
          <w:i/>
          <w:color w:val="666666"/>
          <w:sz w:val="16"/>
        </w:rPr>
        <w:t>。</w:t>
      </w:r>
    </w:p>
    <w:p>
      <w:pPr>
        <w:spacing w:after="60" w:before="0"/>
      </w:pPr>
      <w:r>
        <w:rPr>
          <w:rFonts w:ascii="Times New Roman" w:hAnsi="Times New Roman" w:eastAsia="黑体"/>
          <w:b/>
          <w:i w:val="0"/>
          <w:color w:val="D1495B"/>
          <w:sz w:val="23"/>
        </w:rPr>
        <w:t>需关注的风险</w:t>
      </w:r>
    </w:p>
    <w:p>
      <w:pPr>
        <w:pStyle w:val="ListBullet"/>
        <w:spacing w:after="80"/>
      </w:pPr>
      <w:r>
        <w:rPr>
          <w:rFonts w:ascii="Times New Roman" w:hAnsi="Times New Roman" w:eastAsia="宋体"/>
          <w:b/>
          <w:i w:val="0"/>
          <w:sz w:val="21"/>
        </w:rPr>
        <w:t>客户集中度：</w:t>
      </w:r>
      <w:r>
        <w:rPr>
          <w:rFonts w:ascii="Times New Roman" w:hAnsi="Times New Roman" w:eastAsia="宋体"/>
          <w:b w:val="0"/>
          <w:i w:val="0"/>
          <w:sz w:val="21"/>
        </w:rPr>
        <w:t>大单（Meta、微软）主导在手订单；续约/放量节奏至关重要。</w:t>
      </w:r>
    </w:p>
    <w:p>
      <w:pPr>
        <w:pStyle w:val="ListBullet"/>
        <w:spacing w:after="80"/>
      </w:pPr>
      <w:r>
        <w:rPr>
          <w:rFonts w:ascii="Times New Roman" w:hAnsi="Times New Roman" w:eastAsia="宋体"/>
          <w:b/>
          <w:i w:val="0"/>
          <w:sz w:val="21"/>
        </w:rPr>
        <w:t>资本开支强度与执行：</w:t>
      </w:r>
      <w:r>
        <w:rPr>
          <w:rFonts w:ascii="Times New Roman" w:hAnsi="Times New Roman" w:eastAsia="宋体"/>
          <w:b w:val="0"/>
          <w:i w:val="0"/>
          <w:sz w:val="21"/>
        </w:rPr>
        <w:t>200–250 亿美元的 2026 资本开支要求建设、电力与 GPU 交付零失误；成本通胀（低个位数 %）目前因提前采购而可控。</w:t>
      </w:r>
    </w:p>
    <w:p>
      <w:pPr>
        <w:pStyle w:val="ListBullet"/>
        <w:spacing w:after="80"/>
      </w:pPr>
      <w:r>
        <w:rPr>
          <w:rFonts w:ascii="Times New Roman" w:hAnsi="Times New Roman" w:eastAsia="宋体"/>
          <w:b/>
          <w:i w:val="0"/>
          <w:sz w:val="21"/>
        </w:rPr>
        <w:t>算力定价/供给正常化：</w:t>
      </w:r>
      <w:r>
        <w:rPr>
          <w:rFonts w:ascii="Times New Roman" w:hAnsi="Times New Roman" w:eastAsia="宋体"/>
          <w:b w:val="0"/>
          <w:i w:val="0"/>
          <w:sz w:val="21"/>
        </w:rPr>
        <w:t>定价权建立在 GPU 持续稀缺之上；供给过剩将压缩利润率。</w:t>
      </w:r>
    </w:p>
    <w:p>
      <w:pPr>
        <w:pStyle w:val="ListBullet"/>
        <w:spacing w:after="80"/>
      </w:pPr>
      <w:r>
        <w:rPr>
          <w:rFonts w:ascii="Times New Roman" w:hAnsi="Times New Roman" w:eastAsia="宋体"/>
          <w:b/>
          <w:i w:val="0"/>
          <w:sz w:val="21"/>
        </w:rPr>
        <w:t>非核心拖累：</w:t>
      </w:r>
      <w:r>
        <w:rPr>
          <w:rFonts w:ascii="Times New Roman" w:hAnsi="Times New Roman" w:eastAsia="宋体"/>
          <w:b w:val="0"/>
          <w:i w:val="0"/>
          <w:sz w:val="21"/>
        </w:rPr>
        <w:t>Avride、TripleTen 与 Toloka 仍亏损；管理层正寻求合作方/分拆。</w:t>
      </w:r>
    </w:p>
    <w:p>
      <w:pPr>
        <w:jc w:val="center"/>
      </w:pPr>
      <w:r>
        <w:drawing>
          <wp:inline xmlns:a="http://schemas.openxmlformats.org/drawingml/2006/main" xmlns:pic="http://schemas.openxmlformats.org/drawingml/2006/picture">
            <wp:extent cx="3840480" cy="4040962"/>
            <wp:docPr id="10" name="Picture 10"/>
            <wp:cNvGraphicFramePr>
              <a:graphicFrameLocks noChangeAspect="1"/>
            </wp:cNvGraphicFramePr>
            <a:graphic>
              <a:graphicData uri="http://schemas.openxmlformats.org/drawingml/2006/picture">
                <pic:pic>
                  <pic:nvPicPr>
                    <pic:cNvPr id="0" name="nbis_chart10_mix.png"/>
                    <pic:cNvPicPr/>
                  </pic:nvPicPr>
                  <pic:blipFill>
                    <a:blip r:embed="rId22"/>
                    <a:stretch>
                      <a:fillRect/>
                    </a:stretch>
                  </pic:blipFill>
                  <pic:spPr>
                    <a:xfrm>
                      <a:off x="0" y="0"/>
                      <a:ext cx="3840480" cy="4040962"/>
                    </a:xfrm>
                    <a:prstGeom prst="rect"/>
                  </pic:spPr>
                </pic:pic>
              </a:graphicData>
            </a:graphic>
          </wp:inline>
        </w:drawing>
      </w:r>
    </w:p>
    <w:p>
      <w:pPr>
        <w:spacing w:after="200"/>
      </w:pPr>
      <w:r>
        <w:rPr>
          <w:rFonts w:ascii="Times New Roman" w:hAnsi="Times New Roman" w:eastAsia="宋体"/>
          <w:b w:val="0"/>
          <w:i/>
          <w:color w:val="666666"/>
          <w:sz w:val="16"/>
        </w:rPr>
        <w:t>资料来源：</w:t>
      </w:r>
      <w:r>
        <w:rPr>
          <w:rFonts w:ascii="Times New Roman" w:hAnsi="Times New Roman" w:eastAsia="宋体"/>
          <w:b w:val="0"/>
          <w:i/>
          <w:color w:val="666666"/>
          <w:sz w:val="16"/>
        </w:rPr>
        <w:t>2026Q1 分业务营收；Nebius AI 云占集团 98%。</w:t>
      </w:r>
      <w:hyperlink r:id="rId9">
        <w:r>
          <w:rPr>
            <w:rFonts w:ascii="Times New Roman" w:hAnsi="Times New Roman" w:eastAsia="宋体"/>
            <w:color w:val="1F6FEB"/>
            <w:u w:val="single"/>
            <w:sz w:val="20"/>
          </w:rPr>
          <w:t>2026Q1 新闻稿</w:t>
        </w:r>
      </w:hyperlink>
      <w:r>
        <w:rPr>
          <w:rFonts w:ascii="Times New Roman" w:hAnsi="Times New Roman" w:eastAsia="宋体"/>
          <w:b w:val="0"/>
          <w:i/>
          <w:color w:val="666666"/>
          <w:sz w:val="16"/>
        </w:rPr>
        <w:t>。</w:t>
      </w:r>
    </w:p>
    <w:p>
      <w:r>
        <w:br w:type="page"/>
      </w:r>
    </w:p>
    <w:p>
      <w:pPr>
        <w:spacing w:after="80" w:before="200"/>
      </w:pPr>
      <w:r>
        <w:rPr>
          <w:rFonts w:ascii="Times New Roman" w:hAnsi="Times New Roman" w:eastAsia="黑体"/>
          <w:b/>
          <w:i w:val="0"/>
          <w:color w:val="0B2545"/>
          <w:sz w:val="28"/>
        </w:rPr>
        <w:t>五、估值与建议</w:t>
      </w:r>
    </w:p>
    <w:p>
      <w:pPr>
        <w:spacing w:after="120" w:before="0"/>
      </w:pPr>
      <w:r>
        <w:rPr>
          <w:rFonts w:ascii="Times New Roman" w:hAnsi="Times New Roman" w:eastAsia="黑体"/>
          <w:b/>
          <w:i w:val="0"/>
          <w:color w:val="2BA84A"/>
          <w:sz w:val="24"/>
        </w:rPr>
        <w:t>评级：买入（维持）  |  目标价：330 美元（自 300 美元上调）</w:t>
      </w:r>
    </w:p>
    <w:p>
      <w:pPr>
        <w:spacing w:after="160" w:before="0"/>
      </w:pPr>
      <w:r>
        <w:rPr>
          <w:rFonts w:ascii="Times New Roman" w:hAnsi="Times New Roman" w:eastAsia="宋体"/>
          <w:b w:val="0"/>
          <w:i w:val="0"/>
          <w:sz w:val="21"/>
        </w:rPr>
        <w:t>鉴于其高增长、尚未进入稳态盈利的特征，我们采用 EV/ARR 与前瞻 EV/营收框架对 Nebius 估值。基于我们上调后的约 85 亿美元 2026 退出期 ARR，该股交易于约 8–9 倍 EV/退出期 ARR——相对传统 IaaS 有溢价，但相对其增速（ARR 环比 +54%）与改善的利润率而言合理。对去风险后的 2026 ARR 给予约 10 倍 EV/退出期 ARR，扣除 93 亿美元现金与可转债后，支撑 330 美元目标价（较 280.91 美元约 17% 上行空间）。乐观情形（退出期 ARR &gt;90 亿、综合利润率 45%+、Meta 可选产能全部转售）支撑 400 美元以上；悲观情形（供给正常化、资本开支超支、客户放量滞后）对应约 190 美元。</w:t>
      </w:r>
    </w:p>
    <w:tbl>
      <w:tblPr>
        <w:tblW w:type="auto" w:w="0"/>
        <w:jc w:val="center"/>
        <w:tblLook w:firstColumn="1" w:firstRow="1" w:lastColumn="0" w:lastRow="0" w:noHBand="0" w:noVBand="1" w:val="04A0"/>
      </w:tblPr>
      <w:tblGrid>
        <w:gridCol w:w="2484"/>
        <w:gridCol w:w="2484"/>
        <w:gridCol w:w="2484"/>
        <w:gridCol w:w="2484"/>
      </w:tblGrid>
      <w:tr>
        <w:tc>
          <w:tcPr>
            <w:tcW w:type="dxa" w:w="2484"/>
            <w:shd w:val="clear" w:color="auto" w:fill="0B2545"/>
          </w:tcPr>
          <w:p>
            <w:pPr>
              <w:spacing w:after="20" w:before="20"/>
              <w:jc w:val="center"/>
            </w:pPr>
            <w:r/>
            <w:r>
              <w:rPr>
                <w:rFonts w:ascii="Times New Roman" w:hAnsi="Times New Roman" w:eastAsia="黑体"/>
                <w:b/>
                <w:i w:val="0"/>
                <w:color w:val="FFFFFF"/>
                <w:sz w:val="19"/>
              </w:rPr>
              <w:t>情形</w:t>
            </w:r>
          </w:p>
        </w:tc>
        <w:tc>
          <w:tcPr>
            <w:tcW w:type="dxa" w:w="2484"/>
            <w:shd w:val="clear" w:color="auto" w:fill="0B2545"/>
          </w:tcPr>
          <w:p>
            <w:pPr>
              <w:spacing w:after="20" w:before="20"/>
              <w:jc w:val="center"/>
            </w:pPr>
            <w:r/>
            <w:r>
              <w:rPr>
                <w:rFonts w:ascii="Times New Roman" w:hAnsi="Times New Roman" w:eastAsia="黑体"/>
                <w:b/>
                <w:i w:val="0"/>
                <w:color w:val="FFFFFF"/>
                <w:sz w:val="19"/>
              </w:rPr>
              <w:t>2026 退出期 ARR</w:t>
            </w:r>
          </w:p>
        </w:tc>
        <w:tc>
          <w:tcPr>
            <w:tcW w:type="dxa" w:w="2484"/>
            <w:shd w:val="clear" w:color="auto" w:fill="0B2545"/>
          </w:tcPr>
          <w:p>
            <w:pPr>
              <w:spacing w:after="20" w:before="20"/>
              <w:jc w:val="center"/>
            </w:pPr>
            <w:r/>
            <w:r>
              <w:rPr>
                <w:rFonts w:ascii="Times New Roman" w:hAnsi="Times New Roman" w:eastAsia="黑体"/>
                <w:b/>
                <w:i w:val="0"/>
                <w:color w:val="FFFFFF"/>
                <w:sz w:val="19"/>
              </w:rPr>
              <w:t>EV/ARR</w:t>
            </w:r>
          </w:p>
        </w:tc>
        <w:tc>
          <w:tcPr>
            <w:tcW w:type="dxa" w:w="2484"/>
            <w:shd w:val="clear" w:color="auto" w:fill="0B2545"/>
          </w:tcPr>
          <w:p>
            <w:pPr>
              <w:spacing w:after="20" w:before="20"/>
              <w:jc w:val="center"/>
            </w:pPr>
            <w:r/>
            <w:r>
              <w:rPr>
                <w:rFonts w:ascii="Times New Roman" w:hAnsi="Times New Roman" w:eastAsia="黑体"/>
                <w:b/>
                <w:i w:val="0"/>
                <w:color w:val="FFFFFF"/>
                <w:sz w:val="19"/>
              </w:rPr>
              <w:t>隐含价值</w:t>
            </w:r>
          </w:p>
        </w:tc>
      </w:tr>
      <w:tr>
        <w:tc>
          <w:tcPr>
            <w:tcW w:type="dxa" w:w="2484"/>
          </w:tcPr>
          <w:p>
            <w:pPr>
              <w:spacing w:after="20" w:before="20"/>
              <w:jc w:val="left"/>
            </w:pPr>
            <w:r/>
            <w:r>
              <w:rPr>
                <w:rFonts w:ascii="Times New Roman" w:hAnsi="Times New Roman" w:eastAsia="宋体"/>
                <w:b/>
                <w:i w:val="0"/>
                <w:sz w:val="19"/>
              </w:rPr>
              <w:t>乐观</w:t>
            </w:r>
          </w:p>
        </w:tc>
        <w:tc>
          <w:tcPr>
            <w:tcW w:type="dxa" w:w="2484"/>
          </w:tcPr>
          <w:p>
            <w:pPr>
              <w:spacing w:after="20" w:before="20"/>
              <w:jc w:val="center"/>
            </w:pPr>
            <w:r/>
            <w:r>
              <w:rPr>
                <w:rFonts w:ascii="Times New Roman" w:hAnsi="Times New Roman" w:eastAsia="宋体"/>
                <w:b w:val="0"/>
                <w:i w:val="0"/>
                <w:sz w:val="19"/>
              </w:rPr>
              <w:t>95 亿美元</w:t>
            </w:r>
          </w:p>
        </w:tc>
        <w:tc>
          <w:tcPr>
            <w:tcW w:type="dxa" w:w="2484"/>
          </w:tcPr>
          <w:p>
            <w:pPr>
              <w:spacing w:after="20" w:before="20"/>
              <w:jc w:val="center"/>
            </w:pPr>
            <w:r/>
            <w:r>
              <w:rPr>
                <w:rFonts w:ascii="Times New Roman" w:hAnsi="Times New Roman" w:eastAsia="宋体"/>
                <w:b w:val="0"/>
                <w:i w:val="0"/>
                <w:sz w:val="19"/>
              </w:rPr>
              <w:t>约 12 倍</w:t>
            </w:r>
          </w:p>
        </w:tc>
        <w:tc>
          <w:tcPr>
            <w:tcW w:type="dxa" w:w="2484"/>
          </w:tcPr>
          <w:p>
            <w:pPr>
              <w:spacing w:after="20" w:before="20"/>
              <w:jc w:val="center"/>
            </w:pPr>
            <w:r/>
            <w:r>
              <w:rPr>
                <w:rFonts w:ascii="Times New Roman" w:hAnsi="Times New Roman" w:eastAsia="宋体"/>
                <w:b w:val="0"/>
                <w:i w:val="0"/>
                <w:sz w:val="19"/>
              </w:rPr>
              <w:t>400 美元以上</w:t>
            </w:r>
          </w:p>
        </w:tc>
      </w:tr>
      <w:tr>
        <w:tc>
          <w:tcPr>
            <w:tcW w:type="dxa" w:w="2484"/>
            <w:shd w:val="clear" w:color="auto" w:fill="E8F5E9"/>
          </w:tcPr>
          <w:p>
            <w:pPr>
              <w:spacing w:after="20" w:before="20"/>
              <w:jc w:val="left"/>
            </w:pPr>
            <w:r/>
            <w:r>
              <w:rPr>
                <w:rFonts w:ascii="Times New Roman" w:hAnsi="Times New Roman" w:eastAsia="宋体"/>
                <w:b/>
                <w:i w:val="0"/>
                <w:sz w:val="19"/>
              </w:rPr>
              <w:t>基准（目标价）</w:t>
            </w:r>
          </w:p>
        </w:tc>
        <w:tc>
          <w:tcPr>
            <w:tcW w:type="dxa" w:w="2484"/>
            <w:shd w:val="clear" w:color="auto" w:fill="E8F5E9"/>
          </w:tcPr>
          <w:p>
            <w:pPr>
              <w:spacing w:after="20" w:before="20"/>
              <w:jc w:val="center"/>
            </w:pPr>
            <w:r/>
            <w:r>
              <w:rPr>
                <w:rFonts w:ascii="Times New Roman" w:hAnsi="Times New Roman" w:eastAsia="宋体"/>
                <w:b w:val="0"/>
                <w:i w:val="0"/>
                <w:sz w:val="19"/>
              </w:rPr>
              <w:t>85 亿美元</w:t>
            </w:r>
          </w:p>
        </w:tc>
        <w:tc>
          <w:tcPr>
            <w:tcW w:type="dxa" w:w="2484"/>
            <w:shd w:val="clear" w:color="auto" w:fill="E8F5E9"/>
          </w:tcPr>
          <w:p>
            <w:pPr>
              <w:spacing w:after="20" w:before="20"/>
              <w:jc w:val="center"/>
            </w:pPr>
            <w:r/>
            <w:r>
              <w:rPr>
                <w:rFonts w:ascii="Times New Roman" w:hAnsi="Times New Roman" w:eastAsia="宋体"/>
                <w:b w:val="0"/>
                <w:i w:val="0"/>
                <w:sz w:val="19"/>
              </w:rPr>
              <w:t>约 10 倍</w:t>
            </w:r>
          </w:p>
        </w:tc>
        <w:tc>
          <w:tcPr>
            <w:tcW w:type="dxa" w:w="2484"/>
            <w:shd w:val="clear" w:color="auto" w:fill="E8F5E9"/>
          </w:tcPr>
          <w:p>
            <w:pPr>
              <w:spacing w:after="20" w:before="20"/>
              <w:jc w:val="center"/>
            </w:pPr>
            <w:r/>
            <w:r>
              <w:rPr>
                <w:rFonts w:ascii="Times New Roman" w:hAnsi="Times New Roman" w:eastAsia="宋体"/>
                <w:b w:val="0"/>
                <w:i w:val="0"/>
                <w:sz w:val="19"/>
              </w:rPr>
              <w:t>330 美元</w:t>
            </w:r>
          </w:p>
        </w:tc>
      </w:tr>
      <w:tr>
        <w:tc>
          <w:tcPr>
            <w:tcW w:type="dxa" w:w="2484"/>
          </w:tcPr>
          <w:p>
            <w:pPr>
              <w:spacing w:after="20" w:before="20"/>
              <w:jc w:val="left"/>
            </w:pPr>
            <w:r/>
            <w:r>
              <w:rPr>
                <w:rFonts w:ascii="Times New Roman" w:hAnsi="Times New Roman" w:eastAsia="宋体"/>
                <w:b/>
                <w:i w:val="0"/>
                <w:sz w:val="19"/>
              </w:rPr>
              <w:t>悲观</w:t>
            </w:r>
          </w:p>
        </w:tc>
        <w:tc>
          <w:tcPr>
            <w:tcW w:type="dxa" w:w="2484"/>
          </w:tcPr>
          <w:p>
            <w:pPr>
              <w:spacing w:after="20" w:before="20"/>
              <w:jc w:val="center"/>
            </w:pPr>
            <w:r/>
            <w:r>
              <w:rPr>
                <w:rFonts w:ascii="Times New Roman" w:hAnsi="Times New Roman" w:eastAsia="宋体"/>
                <w:b w:val="0"/>
                <w:i w:val="0"/>
                <w:sz w:val="19"/>
              </w:rPr>
              <w:t>70 亿美元</w:t>
            </w:r>
          </w:p>
        </w:tc>
        <w:tc>
          <w:tcPr>
            <w:tcW w:type="dxa" w:w="2484"/>
          </w:tcPr>
          <w:p>
            <w:pPr>
              <w:spacing w:after="20" w:before="20"/>
              <w:jc w:val="center"/>
            </w:pPr>
            <w:r/>
            <w:r>
              <w:rPr>
                <w:rFonts w:ascii="Times New Roman" w:hAnsi="Times New Roman" w:eastAsia="宋体"/>
                <w:b w:val="0"/>
                <w:i w:val="0"/>
                <w:sz w:val="19"/>
              </w:rPr>
              <w:t>约 6 倍</w:t>
            </w:r>
          </w:p>
        </w:tc>
        <w:tc>
          <w:tcPr>
            <w:tcW w:type="dxa" w:w="2484"/>
          </w:tcPr>
          <w:p>
            <w:pPr>
              <w:spacing w:after="20" w:before="20"/>
              <w:jc w:val="center"/>
            </w:pPr>
            <w:r/>
            <w:r>
              <w:rPr>
                <w:rFonts w:ascii="Times New Roman" w:hAnsi="Times New Roman" w:eastAsia="宋体"/>
                <w:b w:val="0"/>
                <w:i w:val="0"/>
                <w:sz w:val="19"/>
              </w:rPr>
              <w:t>约 190 美元</w:t>
            </w:r>
          </w:p>
        </w:tc>
      </w:tr>
    </w:tbl>
    <w:p>
      <w:pPr>
        <w:spacing w:after="200"/>
      </w:pPr>
      <w:r>
        <w:rPr>
          <w:rFonts w:ascii="Times New Roman" w:hAnsi="Times New Roman" w:eastAsia="宋体"/>
          <w:b w:val="0"/>
          <w:i/>
          <w:color w:val="666666"/>
          <w:sz w:val="16"/>
        </w:rPr>
        <w:t>资料来源：</w:t>
      </w:r>
      <w:r>
        <w:rPr>
          <w:rFonts w:ascii="Times New Roman" w:hAnsi="Times New Roman" w:eastAsia="宋体"/>
          <w:b w:val="0"/>
          <w:i/>
          <w:color w:val="666666"/>
          <w:sz w:val="16"/>
        </w:rPr>
        <w:t>本机构估值框架；市场数据经 Yahoo Finance（yfinance）获取，价格截至 2026 年 6 月 17 日。</w:t>
      </w:r>
    </w:p>
    <w:p>
      <w:pPr>
        <w:spacing w:after="60" w:before="120"/>
      </w:pPr>
      <w:r>
        <w:rPr>
          <w:rFonts w:ascii="Times New Roman" w:hAnsi="Times New Roman" w:eastAsia="黑体"/>
          <w:b/>
          <w:i w:val="0"/>
          <w:color w:val="1F6FEB"/>
          <w:sz w:val="23"/>
        </w:rPr>
        <w:t>催化剂（未来 6–12 个月）</w:t>
      </w:r>
    </w:p>
    <w:p>
      <w:pPr>
        <w:pStyle w:val="ListBullet"/>
        <w:spacing w:after="80"/>
      </w:pPr>
      <w:r>
        <w:rPr>
          <w:rFonts w:ascii="Times New Roman" w:hAnsi="Times New Roman" w:eastAsia="宋体"/>
          <w:b w:val="0"/>
          <w:i w:val="0"/>
          <w:sz w:val="21"/>
        </w:rPr>
        <w:t>2026Q2 财报（2026 年 8 月中）：ARR 向 70–90 亿退出期目标的进展；利润率节奏确认。</w:t>
      </w:r>
    </w:p>
    <w:p>
      <w:pPr>
        <w:pStyle w:val="ListBullet"/>
        <w:spacing w:after="80"/>
      </w:pPr>
      <w:r>
        <w:rPr>
          <w:rFonts w:ascii="Times New Roman" w:hAnsi="Times New Roman" w:eastAsia="宋体"/>
          <w:b w:val="0"/>
          <w:i w:val="0"/>
          <w:sz w:val="21"/>
        </w:rPr>
        <w:t>除 Meta、微软之外的更多超大规模/前沿实验室产能合约。</w:t>
      </w:r>
    </w:p>
    <w:p>
      <w:pPr>
        <w:pStyle w:val="ListBullet"/>
        <w:spacing w:after="80"/>
      </w:pPr>
      <w:r>
        <w:rPr>
          <w:rFonts w:ascii="Times New Roman" w:hAnsi="Times New Roman" w:eastAsia="宋体"/>
          <w:b w:val="0"/>
          <w:i w:val="0"/>
          <w:sz w:val="21"/>
        </w:rPr>
        <w:t>宾州/阿拉巴马/密苏里建设里程碑与电力通电。</w:t>
      </w:r>
    </w:p>
    <w:p>
      <w:pPr>
        <w:pStyle w:val="ListBullet"/>
        <w:spacing w:after="80"/>
      </w:pPr>
      <w:r>
        <w:rPr>
          <w:rFonts w:ascii="Times New Roman" w:hAnsi="Times New Roman" w:eastAsia="宋体"/>
          <w:b w:val="0"/>
          <w:i w:val="0"/>
          <w:sz w:val="21"/>
        </w:rPr>
        <w:t>Avride / TripleTen / Toloka 的潜在变现（引入合作方或分拆）。</w:t>
      </w:r>
    </w:p>
    <w:p>
      <w:r>
        <w:br w:type="page"/>
      </w:r>
    </w:p>
    <w:p>
      <w:pPr>
        <w:spacing w:after="80" w:before="200"/>
      </w:pPr>
      <w:r>
        <w:rPr>
          <w:rFonts w:ascii="Times New Roman" w:hAnsi="Times New Roman" w:eastAsia="黑体"/>
          <w:b/>
          <w:i w:val="0"/>
          <w:color w:val="0B2545"/>
          <w:sz w:val="28"/>
        </w:rPr>
        <w:t>资料来源与参考文献</w:t>
      </w:r>
    </w:p>
    <w:p>
      <w:pPr>
        <w:spacing w:after="80" w:before="0"/>
      </w:pPr>
      <w:r>
        <w:rPr>
          <w:rFonts w:ascii="Times New Roman" w:hAnsi="Times New Roman" w:eastAsia="黑体"/>
          <w:b/>
          <w:i w:val="0"/>
          <w:sz w:val="22"/>
        </w:rPr>
        <w:t>业绩材料（2026 年第一季度 —— 2026 年 5 月 13 日发布）：</w:t>
      </w:r>
    </w:p>
    <w:p>
      <w:pPr>
        <w:pStyle w:val="ListBullet"/>
        <w:spacing w:after="80"/>
      </w:pPr>
      <w:hyperlink r:id="rId9">
        <w:r>
          <w:rPr>
            <w:rFonts w:ascii="Times New Roman" w:hAnsi="Times New Roman" w:eastAsia="宋体"/>
            <w:color w:val="1F6FEB"/>
            <w:u w:val="single"/>
            <w:sz w:val="20"/>
          </w:rPr>
          <w:t>2026Q1 业绩新闻稿 —— Nebius Newsroom（2026 年 5 月 13 日）</w:t>
        </w:r>
      </w:hyperlink>
    </w:p>
    <w:p>
      <w:pPr>
        <w:pStyle w:val="ListBullet"/>
        <w:spacing w:after="80"/>
      </w:pPr>
      <w:hyperlink r:id="rId23">
        <w:r>
          <w:rPr>
            <w:rFonts w:ascii="Times New Roman" w:hAnsi="Times New Roman" w:eastAsia="宋体"/>
            <w:color w:val="1F6FEB"/>
            <w:u w:val="single"/>
            <w:sz w:val="20"/>
          </w:rPr>
          <w:t>2026Q1 业绩 —— BusinessWire 发布（2026 年 5 月 13 日）</w:t>
        </w:r>
      </w:hyperlink>
    </w:p>
    <w:p>
      <w:pPr>
        <w:pStyle w:val="ListBullet"/>
        <w:spacing w:after="80"/>
      </w:pPr>
      <w:hyperlink r:id="rId11">
        <w:r>
          <w:rPr>
            <w:rFonts w:ascii="Times New Roman" w:hAnsi="Times New Roman" w:eastAsia="宋体"/>
            <w:color w:val="1F6FEB"/>
            <w:u w:val="single"/>
            <w:sz w:val="20"/>
          </w:rPr>
          <w:t>Form 6-K —— Nebius Group N.V.，SEC EDGAR（CIK 0001513845）</w:t>
        </w:r>
      </w:hyperlink>
    </w:p>
    <w:p>
      <w:pPr>
        <w:pStyle w:val="ListBullet"/>
        <w:spacing w:after="80"/>
      </w:pPr>
      <w:hyperlink r:id="rId20">
        <w:r>
          <w:rPr>
            <w:rFonts w:ascii="Times New Roman" w:hAnsi="Times New Roman" w:eastAsia="宋体"/>
            <w:color w:val="1F6FEB"/>
            <w:u w:val="single"/>
            <w:sz w:val="20"/>
          </w:rPr>
          <w:t>2026Q1 业绩电话会纪要 —— The Motley Fool（2026 年 5 月 13 日）</w:t>
        </w:r>
      </w:hyperlink>
    </w:p>
    <w:p>
      <w:pPr>
        <w:pStyle w:val="ListBullet"/>
        <w:spacing w:after="80"/>
      </w:pPr>
      <w:hyperlink r:id="rId15">
        <w:r>
          <w:rPr>
            <w:rFonts w:ascii="Times New Roman" w:hAnsi="Times New Roman" w:eastAsia="宋体"/>
            <w:color w:val="1F6FEB"/>
            <w:u w:val="single"/>
            <w:sz w:val="20"/>
          </w:rPr>
          <w:t>2026Q1 业绩电话会纪要 —— Investing.com（2026 年 5 月 13 日）</w:t>
        </w:r>
      </w:hyperlink>
    </w:p>
    <w:p>
      <w:pPr>
        <w:pStyle w:val="ListBullet"/>
        <w:spacing w:after="80"/>
      </w:pPr>
      <w:hyperlink r:id="rId24">
        <w:r>
          <w:rPr>
            <w:rFonts w:ascii="Times New Roman" w:hAnsi="Times New Roman" w:eastAsia="宋体"/>
            <w:color w:val="1F6FEB"/>
            <w:u w:val="single"/>
            <w:sz w:val="20"/>
          </w:rPr>
          <w:t>Nebius 投资者中心 / 财务</w:t>
        </w:r>
      </w:hyperlink>
    </w:p>
    <w:p>
      <w:pPr>
        <w:pStyle w:val="ListBullet"/>
        <w:spacing w:after="80"/>
      </w:pPr>
      <w:hyperlink r:id="rId25">
        <w:r>
          <w:rPr>
            <w:rFonts w:ascii="Times New Roman" w:hAnsi="Times New Roman" w:eastAsia="宋体"/>
            <w:color w:val="1F6FEB"/>
            <w:u w:val="single"/>
            <w:sz w:val="20"/>
          </w:rPr>
          <w:t>2026Q1 分析 —— Seeking Alpha</w:t>
        </w:r>
      </w:hyperlink>
    </w:p>
    <w:p>
      <w:pPr>
        <w:spacing w:after="80" w:before="0"/>
      </w:pPr>
    </w:p>
    <w:p>
      <w:pPr>
        <w:spacing w:after="120" w:before="0"/>
      </w:pPr>
      <w:r>
        <w:rPr>
          <w:rFonts w:ascii="Times New Roman" w:hAnsi="Times New Roman" w:eastAsia="宋体"/>
          <w:b w:val="0"/>
          <w:i/>
          <w:color w:val="666666"/>
          <w:sz w:val="16"/>
        </w:rPr>
        <w:t>免责声明：本业绩更新仅供信息参考，不构成投资建议或任何证券的买卖要约。文中预测为示意性数据。市场数据经 Yahoo Finance（yfinance）于 2026 年 6 月 17 日获取。</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nebius.com/newsroom/nebius-reports-first-quarter-2026-financial-results" TargetMode="External"/><Relationship Id="rId10" Type="http://schemas.openxmlformats.org/officeDocument/2006/relationships/image" Target="media/image1.png"/><Relationship Id="rId11" Type="http://schemas.openxmlformats.org/officeDocument/2006/relationships/hyperlink" Target="https://www.sec.gov/cgi-bin/browse-edgar?action=getcompany&amp;CIK=0001513845&amp;type=6-K" TargetMode="Externa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hyperlink" Target="https://www.investing.com/news/transcripts/earnings-call-transcript-nebius-group-q1-2026-earnings-beat-expectations-93CH-4684818" TargetMode="External"/><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hyperlink" Target="https://www.fool.com/earnings/call-transcripts/2026/05/13/nebius-nbis-q1-2026-earnings-transcript/" TargetMode="External"/><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hyperlink" Target="https://www.businesswire.com/news/home/20260513568820/en/Nebius-reports-first-quarter-2026-financial-results" TargetMode="External"/><Relationship Id="rId24" Type="http://schemas.openxmlformats.org/officeDocument/2006/relationships/hyperlink" Target="https://nebius.com/financials" TargetMode="External"/><Relationship Id="rId25" Type="http://schemas.openxmlformats.org/officeDocument/2006/relationships/hyperlink" Target="https://seekingalpha.com/article/4907267-nebius-breaking-down-nebiuss-q1-earning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