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Times New Roman" w:hAnsi="Times New Roman"/>
          <w:b/>
          <w:i w:val="0"/>
          <w:color w:val="1F6FEB"/>
          <w:sz w:val="18"/>
        </w:rPr>
        <w:t>EQUITY RESEARCH  |  EARNINGS UPDATE</w:t>
      </w:r>
    </w:p>
    <w:p>
      <w:pPr>
        <w:spacing w:after="20" w:before="0"/>
      </w:pPr>
      <w:r>
        <w:rPr>
          <w:rFonts w:ascii="Times New Roman" w:hAnsi="Times New Roman"/>
          <w:b/>
          <w:i w:val="0"/>
          <w:color w:val="0B2545"/>
          <w:sz w:val="36"/>
        </w:rPr>
        <w:t>Nebius Group N.V. (NASDAQ: NBIS)</w:t>
      </w:r>
    </w:p>
    <w:p>
      <w:pPr>
        <w:spacing w:after="80" w:before="0"/>
      </w:pPr>
      <w:r>
        <w:rPr>
          <w:rFonts w:ascii="Times New Roman" w:hAnsi="Times New Roman"/>
          <w:b/>
          <w:i w:val="0"/>
          <w:color w:val="0B2545"/>
          <w:sz w:val="25"/>
        </w:rPr>
        <w:t>Q1 2026 Earnings Update — “Everything We Build, We Sell”</w:t>
      </w:r>
    </w:p>
    <w:p>
      <w:pPr>
        <w:spacing w:after="160"/>
      </w:pPr>
      <w:r>
        <w:rPr>
          <w:rFonts w:ascii="Times New Roman" w:hAnsi="Times New Roman"/>
          <w:b w:val="0"/>
          <w:i w:val="0"/>
          <w:color w:val="666666"/>
          <w:sz w:val="19"/>
        </w:rPr>
        <w:t xml:space="preserve">Report date: June 18, 2026   |   </w:t>
      </w:r>
      <w:r>
        <w:rPr>
          <w:rFonts w:ascii="Times New Roman" w:hAnsi="Times New Roman"/>
          <w:b/>
          <w:i w:val="0"/>
          <w:color w:val="2BA84A"/>
          <w:sz w:val="19"/>
        </w:rPr>
        <w:t xml:space="preserve">Rating: BUY   |   </w:t>
      </w:r>
      <w:r>
        <w:rPr>
          <w:rFonts w:ascii="Times New Roman" w:hAnsi="Times New Roman"/>
          <w:b/>
          <w:i w:val="0"/>
          <w:color w:val="0B2545"/>
          <w:sz w:val="19"/>
        </w:rPr>
        <w:t xml:space="preserve">Price Target: $330   |   </w:t>
      </w:r>
      <w:r>
        <w:rPr>
          <w:rFonts w:ascii="Times New Roman" w:hAnsi="Times New Roman"/>
          <w:b w:val="0"/>
          <w:i w:val="0"/>
          <w:color w:val="666666"/>
          <w:sz w:val="19"/>
        </w:rPr>
        <w:t xml:space="preserve">Price (6/17/26): $280.91   |   </w:t>
      </w:r>
      <w:r>
        <w:rPr>
          <w:rFonts w:ascii="Times New Roman" w:hAnsi="Times New Roman"/>
          <w:b w:val="0"/>
          <w:i w:val="0"/>
          <w:color w:val="666666"/>
          <w:sz w:val="19"/>
        </w:rPr>
        <w:t>Mkt Cap: ~$71B</w:t>
      </w:r>
    </w:p>
    <w:tbl>
      <w:tblPr>
        <w:tblW w:type="auto" w:w="0"/>
        <w:jc w:val="center"/>
        <w:tblLook w:firstColumn="1" w:firstRow="1" w:lastColumn="0" w:lastRow="0" w:noHBand="0" w:noVBand="1" w:val="04A0"/>
      </w:tblPr>
      <w:tblGrid>
        <w:gridCol w:w="2484"/>
        <w:gridCol w:w="2484"/>
        <w:gridCol w:w="2484"/>
        <w:gridCol w:w="2484"/>
      </w:tblGrid>
      <w:tr>
        <w:tc>
          <w:tcPr>
            <w:tcW w:type="dxa" w:w="2376"/>
            <w:shd w:val="clear" w:color="auto" w:fill="0B2545"/>
          </w:tcPr>
          <w:p>
            <w:pPr>
              <w:spacing w:after="20" w:before="20"/>
              <w:jc w:val="center"/>
            </w:pPr>
            <w:r/>
            <w:r>
              <w:rPr>
                <w:rFonts w:ascii="Times New Roman" w:hAnsi="Times New Roman"/>
                <w:b/>
                <w:i w:val="0"/>
                <w:color w:val="FFFFFF"/>
                <w:sz w:val="19"/>
              </w:rPr>
              <w:t>Metric</w:t>
            </w:r>
          </w:p>
        </w:tc>
        <w:tc>
          <w:tcPr>
            <w:tcW w:type="dxa" w:w="2376"/>
            <w:shd w:val="clear" w:color="auto" w:fill="0B2545"/>
          </w:tcPr>
          <w:p>
            <w:pPr>
              <w:spacing w:after="20" w:before="20"/>
              <w:jc w:val="center"/>
            </w:pPr>
            <w:r/>
            <w:r>
              <w:rPr>
                <w:rFonts w:ascii="Times New Roman" w:hAnsi="Times New Roman"/>
                <w:b/>
                <w:i w:val="0"/>
                <w:color w:val="FFFFFF"/>
                <w:sz w:val="19"/>
              </w:rPr>
              <w:t>Q1 2026A</w:t>
            </w:r>
          </w:p>
        </w:tc>
        <w:tc>
          <w:tcPr>
            <w:tcW w:type="dxa" w:w="2376"/>
            <w:shd w:val="clear" w:color="auto" w:fill="0B2545"/>
          </w:tcPr>
          <w:p>
            <w:pPr>
              <w:spacing w:after="20" w:before="20"/>
              <w:jc w:val="center"/>
            </w:pPr>
            <w:r/>
            <w:r>
              <w:rPr>
                <w:rFonts w:ascii="Times New Roman" w:hAnsi="Times New Roman"/>
                <w:b/>
                <w:i w:val="0"/>
                <w:color w:val="FFFFFF"/>
                <w:sz w:val="19"/>
              </w:rPr>
              <w:t>Consensus</w:t>
            </w:r>
          </w:p>
        </w:tc>
        <w:tc>
          <w:tcPr>
            <w:tcW w:type="dxa" w:w="2376"/>
            <w:shd w:val="clear" w:color="auto" w:fill="0B2545"/>
          </w:tcPr>
          <w:p>
            <w:pPr>
              <w:spacing w:after="20" w:before="20"/>
              <w:jc w:val="center"/>
            </w:pPr>
            <w:r/>
            <w:r>
              <w:rPr>
                <w:rFonts w:ascii="Times New Roman" w:hAnsi="Times New Roman"/>
                <w:b/>
                <w:i w:val="0"/>
                <w:color w:val="FFFFFF"/>
                <w:sz w:val="19"/>
              </w:rPr>
              <w:t>Beat / (Miss)</w:t>
            </w:r>
          </w:p>
        </w:tc>
      </w:tr>
      <w:tr>
        <w:tc>
          <w:tcPr>
            <w:tcW w:type="dxa" w:w="2376"/>
          </w:tcPr>
          <w:p>
            <w:pPr>
              <w:spacing w:after="20" w:before="20"/>
              <w:jc w:val="left"/>
            </w:pPr>
            <w:r/>
            <w:r>
              <w:rPr>
                <w:rFonts w:ascii="Times New Roman" w:hAnsi="Times New Roman"/>
                <w:b/>
                <w:i w:val="0"/>
                <w:sz w:val="19"/>
              </w:rPr>
              <w:t>Group revenue</w:t>
            </w:r>
          </w:p>
        </w:tc>
        <w:tc>
          <w:tcPr>
            <w:tcW w:type="dxa" w:w="2376"/>
          </w:tcPr>
          <w:p>
            <w:pPr>
              <w:spacing w:after="20" w:before="20"/>
              <w:jc w:val="center"/>
            </w:pPr>
            <w:r/>
            <w:r>
              <w:rPr>
                <w:rFonts w:ascii="Times New Roman" w:hAnsi="Times New Roman"/>
                <w:b w:val="0"/>
                <w:i w:val="0"/>
                <w:sz w:val="19"/>
              </w:rPr>
              <w:t>$399.0M</w:t>
            </w:r>
          </w:p>
        </w:tc>
        <w:tc>
          <w:tcPr>
            <w:tcW w:type="dxa" w:w="2376"/>
          </w:tcPr>
          <w:p>
            <w:pPr>
              <w:spacing w:after="20" w:before="20"/>
              <w:jc w:val="center"/>
            </w:pPr>
            <w:r/>
            <w:r>
              <w:rPr>
                <w:rFonts w:ascii="Times New Roman" w:hAnsi="Times New Roman"/>
                <w:b w:val="0"/>
                <w:i w:val="0"/>
                <w:sz w:val="19"/>
              </w:rPr>
              <w:t>$391.6M</w:t>
            </w:r>
          </w:p>
        </w:tc>
        <w:tc>
          <w:tcPr>
            <w:tcW w:type="dxa" w:w="2376"/>
          </w:tcPr>
          <w:p>
            <w:pPr>
              <w:spacing w:after="20" w:before="20"/>
              <w:jc w:val="center"/>
            </w:pPr>
            <w:r/>
            <w:r>
              <w:rPr>
                <w:rFonts w:ascii="Times New Roman" w:hAnsi="Times New Roman"/>
                <w:b w:val="0"/>
                <w:i w:val="0"/>
                <w:sz w:val="19"/>
              </w:rPr>
              <w:t>+$7.4M / +1.9%  ✔</w:t>
            </w:r>
          </w:p>
        </w:tc>
      </w:tr>
      <w:tr>
        <w:tc>
          <w:tcPr>
            <w:tcW w:type="dxa" w:w="2376"/>
          </w:tcPr>
          <w:p>
            <w:pPr>
              <w:spacing w:after="20" w:before="20"/>
              <w:jc w:val="left"/>
            </w:pPr>
            <w:r/>
            <w:r>
              <w:rPr>
                <w:rFonts w:ascii="Times New Roman" w:hAnsi="Times New Roman"/>
                <w:b/>
                <w:i w:val="0"/>
                <w:sz w:val="19"/>
              </w:rPr>
              <w:t>Core AI Cloud ARR</w:t>
            </w:r>
          </w:p>
        </w:tc>
        <w:tc>
          <w:tcPr>
            <w:tcW w:type="dxa" w:w="2376"/>
          </w:tcPr>
          <w:p>
            <w:pPr>
              <w:spacing w:after="20" w:before="20"/>
              <w:jc w:val="center"/>
            </w:pPr>
            <w:r/>
            <w:r>
              <w:rPr>
                <w:rFonts w:ascii="Times New Roman" w:hAnsi="Times New Roman"/>
                <w:b w:val="0"/>
                <w:i w:val="0"/>
                <w:sz w:val="19"/>
              </w:rPr>
              <w:t>$1.92B</w:t>
            </w:r>
          </w:p>
        </w:tc>
        <w:tc>
          <w:tcPr>
            <w:tcW w:type="dxa" w:w="2376"/>
          </w:tcPr>
          <w:p>
            <w:pPr>
              <w:spacing w:after="20" w:before="20"/>
              <w:jc w:val="center"/>
            </w:pPr>
            <w:r/>
            <w:r>
              <w:rPr>
                <w:rFonts w:ascii="Times New Roman" w:hAnsi="Times New Roman"/>
                <w:b w:val="0"/>
                <w:i w:val="0"/>
                <w:sz w:val="19"/>
              </w:rPr>
              <w:t>—</w:t>
            </w:r>
          </w:p>
        </w:tc>
        <w:tc>
          <w:tcPr>
            <w:tcW w:type="dxa" w:w="2376"/>
          </w:tcPr>
          <w:p>
            <w:pPr>
              <w:spacing w:after="20" w:before="20"/>
              <w:jc w:val="center"/>
            </w:pPr>
            <w:r/>
            <w:r>
              <w:rPr>
                <w:rFonts w:ascii="Times New Roman" w:hAnsi="Times New Roman"/>
                <w:b w:val="0"/>
                <w:i w:val="0"/>
                <w:sz w:val="19"/>
              </w:rPr>
              <w:t>+54% QoQ</w:t>
            </w:r>
          </w:p>
        </w:tc>
      </w:tr>
      <w:tr>
        <w:tc>
          <w:tcPr>
            <w:tcW w:type="dxa" w:w="2376"/>
          </w:tcPr>
          <w:p>
            <w:pPr>
              <w:spacing w:after="20" w:before="20"/>
              <w:jc w:val="left"/>
            </w:pPr>
            <w:r/>
            <w:r>
              <w:rPr>
                <w:rFonts w:ascii="Times New Roman" w:hAnsi="Times New Roman"/>
                <w:b/>
                <w:i w:val="0"/>
                <w:sz w:val="19"/>
              </w:rPr>
              <w:t>Group adj. EBITDA</w:t>
            </w:r>
          </w:p>
        </w:tc>
        <w:tc>
          <w:tcPr>
            <w:tcW w:type="dxa" w:w="2376"/>
          </w:tcPr>
          <w:p>
            <w:pPr>
              <w:spacing w:after="20" w:before="20"/>
              <w:jc w:val="center"/>
            </w:pPr>
            <w:r/>
            <w:r>
              <w:rPr>
                <w:rFonts w:ascii="Times New Roman" w:hAnsi="Times New Roman"/>
                <w:b w:val="0"/>
                <w:i w:val="0"/>
                <w:sz w:val="19"/>
              </w:rPr>
              <w:t>$129.5M</w:t>
            </w:r>
          </w:p>
        </w:tc>
        <w:tc>
          <w:tcPr>
            <w:tcW w:type="dxa" w:w="2376"/>
          </w:tcPr>
          <w:p>
            <w:pPr>
              <w:spacing w:after="20" w:before="20"/>
              <w:jc w:val="center"/>
            </w:pPr>
            <w:r/>
            <w:r>
              <w:rPr>
                <w:rFonts w:ascii="Times New Roman" w:hAnsi="Times New Roman"/>
                <w:b w:val="0"/>
                <w:i w:val="0"/>
                <w:sz w:val="19"/>
              </w:rPr>
              <w:t>~$95M</w:t>
            </w:r>
          </w:p>
        </w:tc>
        <w:tc>
          <w:tcPr>
            <w:tcW w:type="dxa" w:w="2376"/>
          </w:tcPr>
          <w:p>
            <w:pPr>
              <w:spacing w:after="20" w:before="20"/>
              <w:jc w:val="center"/>
            </w:pPr>
            <w:r/>
            <w:r>
              <w:rPr>
                <w:rFonts w:ascii="Times New Roman" w:hAnsi="Times New Roman"/>
                <w:b w:val="0"/>
                <w:i w:val="0"/>
                <w:sz w:val="19"/>
              </w:rPr>
              <w:t>+$34M / Beat ✔</w:t>
            </w:r>
          </w:p>
        </w:tc>
      </w:tr>
      <w:tr>
        <w:tc>
          <w:tcPr>
            <w:tcW w:type="dxa" w:w="2376"/>
          </w:tcPr>
          <w:p>
            <w:pPr>
              <w:spacing w:after="20" w:before="20"/>
              <w:jc w:val="left"/>
            </w:pPr>
            <w:r/>
            <w:r>
              <w:rPr>
                <w:rFonts w:ascii="Times New Roman" w:hAnsi="Times New Roman"/>
                <w:b/>
                <w:i w:val="0"/>
                <w:sz w:val="19"/>
              </w:rPr>
              <w:t>Group adj. EBITDA margin</w:t>
            </w:r>
          </w:p>
        </w:tc>
        <w:tc>
          <w:tcPr>
            <w:tcW w:type="dxa" w:w="2376"/>
          </w:tcPr>
          <w:p>
            <w:pPr>
              <w:spacing w:after="20" w:before="20"/>
              <w:jc w:val="center"/>
            </w:pPr>
            <w:r/>
            <w:r>
              <w:rPr>
                <w:rFonts w:ascii="Times New Roman" w:hAnsi="Times New Roman"/>
                <w:b w:val="0"/>
                <w:i w:val="0"/>
                <w:sz w:val="19"/>
              </w:rPr>
              <w:t>32%</w:t>
            </w:r>
          </w:p>
        </w:tc>
        <w:tc>
          <w:tcPr>
            <w:tcW w:type="dxa" w:w="2376"/>
          </w:tcPr>
          <w:p>
            <w:pPr>
              <w:spacing w:after="20" w:before="20"/>
              <w:jc w:val="center"/>
            </w:pPr>
            <w:r/>
            <w:r>
              <w:rPr>
                <w:rFonts w:ascii="Times New Roman" w:hAnsi="Times New Roman"/>
                <w:b w:val="0"/>
                <w:i w:val="0"/>
                <w:sz w:val="19"/>
              </w:rPr>
              <w:t>~24%</w:t>
            </w:r>
          </w:p>
        </w:tc>
        <w:tc>
          <w:tcPr>
            <w:tcW w:type="dxa" w:w="2376"/>
          </w:tcPr>
          <w:p>
            <w:pPr>
              <w:spacing w:after="20" w:before="20"/>
              <w:jc w:val="center"/>
            </w:pPr>
            <w:r/>
            <w:r>
              <w:rPr>
                <w:rFonts w:ascii="Times New Roman" w:hAnsi="Times New Roman"/>
                <w:b w:val="0"/>
                <w:i w:val="0"/>
                <w:sz w:val="19"/>
              </w:rPr>
              <w:t>+8 pts ✔</w:t>
            </w:r>
          </w:p>
        </w:tc>
      </w:tr>
      <w:tr>
        <w:tc>
          <w:tcPr>
            <w:tcW w:type="dxa" w:w="2376"/>
          </w:tcPr>
          <w:p>
            <w:pPr>
              <w:spacing w:after="20" w:before="20"/>
              <w:jc w:val="left"/>
            </w:pPr>
            <w:r/>
            <w:r>
              <w:rPr>
                <w:rFonts w:ascii="Times New Roman" w:hAnsi="Times New Roman"/>
                <w:b/>
                <w:i w:val="0"/>
                <w:sz w:val="19"/>
              </w:rPr>
              <w:t>Adj. EPS (diluted)</w:t>
            </w:r>
          </w:p>
        </w:tc>
        <w:tc>
          <w:tcPr>
            <w:tcW w:type="dxa" w:w="2376"/>
          </w:tcPr>
          <w:p>
            <w:pPr>
              <w:spacing w:after="20" w:before="20"/>
              <w:jc w:val="center"/>
            </w:pPr>
            <w:r/>
            <w:r>
              <w:rPr>
                <w:rFonts w:ascii="Times New Roman" w:hAnsi="Times New Roman"/>
                <w:b w:val="0"/>
                <w:i w:val="0"/>
                <w:sz w:val="19"/>
              </w:rPr>
              <w:t>$(0.39)</w:t>
            </w:r>
          </w:p>
        </w:tc>
        <w:tc>
          <w:tcPr>
            <w:tcW w:type="dxa" w:w="2376"/>
          </w:tcPr>
          <w:p>
            <w:pPr>
              <w:spacing w:after="20" w:before="20"/>
              <w:jc w:val="center"/>
            </w:pPr>
            <w:r/>
            <w:r>
              <w:rPr>
                <w:rFonts w:ascii="Times New Roman" w:hAnsi="Times New Roman"/>
                <w:b w:val="0"/>
                <w:i w:val="0"/>
                <w:sz w:val="19"/>
              </w:rPr>
              <w:t>$(0.78)</w:t>
            </w:r>
          </w:p>
        </w:tc>
        <w:tc>
          <w:tcPr>
            <w:tcW w:type="dxa" w:w="2376"/>
          </w:tcPr>
          <w:p>
            <w:pPr>
              <w:spacing w:after="20" w:before="20"/>
              <w:jc w:val="center"/>
            </w:pPr>
            <w:r/>
            <w:r>
              <w:rPr>
                <w:rFonts w:ascii="Times New Roman" w:hAnsi="Times New Roman"/>
                <w:b w:val="0"/>
                <w:i w:val="0"/>
                <w:sz w:val="19"/>
              </w:rPr>
              <w:t>Narrower loss ✔</w:t>
            </w:r>
          </w:p>
        </w:tc>
      </w:tr>
      <w:tr>
        <w:tc>
          <w:tcPr>
            <w:tcW w:type="dxa" w:w="2376"/>
          </w:tcPr>
          <w:p>
            <w:pPr>
              <w:spacing w:after="20" w:before="20"/>
              <w:jc w:val="left"/>
            </w:pPr>
            <w:r/>
            <w:r>
              <w:rPr>
                <w:rFonts w:ascii="Times New Roman" w:hAnsi="Times New Roman"/>
                <w:b/>
                <w:i w:val="0"/>
                <w:sz w:val="19"/>
              </w:rPr>
              <w:t>GAAP EPS (diluted)</w:t>
            </w:r>
          </w:p>
        </w:tc>
        <w:tc>
          <w:tcPr>
            <w:tcW w:type="dxa" w:w="2376"/>
          </w:tcPr>
          <w:p>
            <w:pPr>
              <w:spacing w:after="20" w:before="20"/>
              <w:jc w:val="center"/>
            </w:pPr>
            <w:r/>
            <w:r>
              <w:rPr>
                <w:rFonts w:ascii="Times New Roman" w:hAnsi="Times New Roman"/>
                <w:b w:val="0"/>
                <w:i w:val="0"/>
                <w:sz w:val="19"/>
              </w:rPr>
              <w:t>$2.11</w:t>
            </w:r>
          </w:p>
        </w:tc>
        <w:tc>
          <w:tcPr>
            <w:tcW w:type="dxa" w:w="2376"/>
          </w:tcPr>
          <w:p>
            <w:pPr>
              <w:spacing w:after="20" w:before="20"/>
              <w:jc w:val="center"/>
            </w:pPr>
            <w:r/>
            <w:r>
              <w:rPr>
                <w:rFonts w:ascii="Times New Roman" w:hAnsi="Times New Roman"/>
                <w:b w:val="0"/>
                <w:i w:val="0"/>
                <w:sz w:val="19"/>
              </w:rPr>
              <w:t>n/m</w:t>
            </w:r>
          </w:p>
        </w:tc>
        <w:tc>
          <w:tcPr>
            <w:tcW w:type="dxa" w:w="2376"/>
          </w:tcPr>
          <w:p>
            <w:pPr>
              <w:spacing w:after="20" w:before="20"/>
              <w:jc w:val="center"/>
            </w:pPr>
            <w:r/>
            <w:r>
              <w:rPr>
                <w:rFonts w:ascii="Times New Roman" w:hAnsi="Times New Roman"/>
                <w:b w:val="0"/>
                <w:i w:val="0"/>
                <w:sz w:val="19"/>
              </w:rPr>
              <w:t>Incl. $781M ClickHouse gain</w:t>
            </w:r>
          </w:p>
        </w:tc>
      </w:tr>
    </w:tbl>
    <w:p>
      <w:pPr>
        <w:spacing w:after="200"/>
      </w:pPr>
      <w:r>
        <w:rPr>
          <w:rFonts w:ascii="Times New Roman" w:hAnsi="Times New Roman"/>
          <w:b w:val="0"/>
          <w:i/>
          <w:color w:val="666666"/>
          <w:sz w:val="16"/>
        </w:rPr>
        <w:t xml:space="preserve">Source: </w:t>
      </w:r>
      <w:r>
        <w:rPr>
          <w:rFonts w:ascii="Times New Roman" w:hAnsi="Times New Roman"/>
          <w:b w:val="0"/>
          <w:i/>
          <w:color w:val="666666"/>
          <w:sz w:val="16"/>
        </w:rPr>
        <w:t xml:space="preserve">Q1 2026 results press release &amp; 6-K (filed May 13, 2026), </w:t>
      </w:r>
      <w:hyperlink r:id="rId9">
        <w:r>
          <w:rPr>
            <w:rFonts w:ascii="Times New Roman" w:hAnsi="Times New Roman"/>
            <w:color w:val="1F6FEB"/>
            <w:u w:val="single"/>
            <w:sz w:val="20"/>
          </w:rPr>
          <w:t>Nebius IR</w:t>
        </w:r>
      </w:hyperlink>
      <w:r>
        <w:rPr>
          <w:rFonts w:ascii="Times New Roman" w:hAnsi="Times New Roman"/>
          <w:b w:val="0"/>
          <w:i/>
          <w:color w:val="666666"/>
          <w:sz w:val="16"/>
        </w:rPr>
        <w:t>; consensus per Visible Alpha / Investing.com as of May 12, 2026.</w:t>
      </w:r>
    </w:p>
    <w:p>
      <w:pPr>
        <w:spacing w:after="80" w:before="200"/>
      </w:pPr>
      <w:r>
        <w:rPr>
          <w:rFonts w:ascii="Times New Roman" w:hAnsi="Times New Roman"/>
          <w:b/>
          <w:i w:val="0"/>
          <w:color w:val="0B2545"/>
          <w:sz w:val="26"/>
        </w:rPr>
        <w:t>Bottom Line: A Blowout Quarter — Reiterate BUY, Raise PT to $330</w:t>
      </w:r>
    </w:p>
    <w:p>
      <w:pPr>
        <w:spacing w:after="160" w:before="0"/>
      </w:pPr>
      <w:r>
        <w:rPr>
          <w:rFonts w:ascii="Times New Roman" w:hAnsi="Times New Roman"/>
          <w:b w:val="0"/>
          <w:i w:val="0"/>
          <w:sz w:val="21"/>
        </w:rPr>
        <w:t>Nebius delivered a clean beat-and-build quarter. Group revenue of $399M (+684% YoY, +75% QoQ) topped consensus, core AI Cloud ARR vaulted +54% QoQ to $1.92B, and group adjusted EBITDA more than doubled QoQ to $129.5M (32% margin) as the AI cloud unit hit a 45% adjusted EBITDA margin. The strategic headline was a $27B, five-year Meta agreement plus a $2B NVIDIA equity investment, validating Nebius as a tier-one neocloud. Management raised 2026 capex to $20–25B (from $16–20B) to pull forward 2027 capacity, while reiterating $7–9B exit-ARR and $3.0–3.4B revenue. We raise our PT to $330 (from $300) on higher out-year ARR visibility and a de-risked capital structure ($9.3B cash).</w:t>
      </w:r>
    </w:p>
    <w:p>
      <w:pPr>
        <w:spacing w:after="80" w:before="200"/>
      </w:pPr>
      <w:r>
        <w:rPr>
          <w:rFonts w:ascii="Times New Roman" w:hAnsi="Times New Roman"/>
          <w:b/>
          <w:i w:val="0"/>
          <w:color w:val="0B2545"/>
          <w:sz w:val="24"/>
        </w:rPr>
        <w:t>Key Takeaways</w:t>
      </w:r>
    </w:p>
    <w:p>
      <w:pPr>
        <w:pStyle w:val="ListBullet"/>
        <w:spacing w:after="80"/>
      </w:pPr>
      <w:r>
        <w:rPr>
          <w:rFonts w:ascii="Times New Roman" w:hAnsi="Times New Roman"/>
          <w:b/>
          <w:i w:val="0"/>
          <w:sz w:val="21"/>
        </w:rPr>
        <w:t xml:space="preserve">Demand is the bottleneck-free variable. </w:t>
      </w:r>
      <w:r>
        <w:rPr>
          <w:rFonts w:ascii="Times New Roman" w:hAnsi="Times New Roman"/>
          <w:b w:val="0"/>
          <w:i w:val="0"/>
          <w:sz w:val="21"/>
        </w:rPr>
        <w:t>“Everything we build, we sell” — AI cloud pipeline grew 3.5x QoQ (ex-hyperscalers), Nebius raised prices again and is sold out across all chip types. Contracted power reached &gt;3.5 GW (from ~2 GW), with a YE-2026 target of &gt;4 GW.</w:t>
      </w:r>
    </w:p>
    <w:p>
      <w:pPr>
        <w:pStyle w:val="ListBullet"/>
        <w:spacing w:after="80"/>
      </w:pPr>
      <w:r>
        <w:rPr>
          <w:rFonts w:ascii="Times New Roman" w:hAnsi="Times New Roman"/>
          <w:b/>
          <w:i w:val="0"/>
          <w:sz w:val="21"/>
        </w:rPr>
        <w:t xml:space="preserve">Margins inflected hard. </w:t>
      </w:r>
      <w:r>
        <w:rPr>
          <w:rFonts w:ascii="Times New Roman" w:hAnsi="Times New Roman"/>
          <w:b w:val="0"/>
          <w:i w:val="0"/>
          <w:sz w:val="21"/>
        </w:rPr>
        <w:t>Core AI cloud adj. EBITDA margin expanded to 45% (from 24% in Q4'25); group margin hit 32%. Management guides ~40% group adj. EBITDA margin for FY2026, with a back-half-weighted cadence.</w:t>
      </w:r>
    </w:p>
    <w:p>
      <w:pPr>
        <w:pStyle w:val="ListBullet"/>
        <w:spacing w:after="80"/>
      </w:pPr>
      <w:r>
        <w:rPr>
          <w:rFonts w:ascii="Times New Roman" w:hAnsi="Times New Roman"/>
          <w:b/>
          <w:i w:val="0"/>
          <w:sz w:val="21"/>
        </w:rPr>
        <w:t xml:space="preserve">Balance sheet is now a weapon. </w:t>
      </w:r>
      <w:r>
        <w:rPr>
          <w:rFonts w:ascii="Times New Roman" w:hAnsi="Times New Roman"/>
          <w:b w:val="0"/>
          <w:i w:val="0"/>
          <w:sz w:val="21"/>
        </w:rPr>
        <w:t>$6.3B raised in Q1 ($4.3B converts + $2B NVIDIA equity); $9.3B cash and &gt;90% of current capex secured by cash/contracts. Operating cash flow swung to +$2.3B.</w:t>
      </w:r>
    </w:p>
    <w:p>
      <w:pPr>
        <w:pStyle w:val="ListBullet"/>
        <w:spacing w:after="80"/>
      </w:pPr>
      <w:r>
        <w:rPr>
          <w:rFonts w:ascii="Times New Roman" w:hAnsi="Times New Roman"/>
          <w:b/>
          <w:i w:val="0"/>
          <w:sz w:val="21"/>
        </w:rPr>
        <w:t xml:space="preserve">Capacity pulled forward. </w:t>
      </w:r>
      <w:r>
        <w:rPr>
          <w:rFonts w:ascii="Times New Roman" w:hAnsi="Times New Roman"/>
          <w:b w:val="0"/>
          <w:i w:val="0"/>
          <w:sz w:val="21"/>
        </w:rPr>
        <w:t>New 1.2 GW owned AI factory in Pennsylvania (2nd US GW-scale site); &gt;75% of capacity owned. Capex raised to $20–25B funds 2027 supply that begins contributing revenue in H1 2027.</w:t>
      </w:r>
    </w:p>
    <w:p>
      <w:pPr>
        <w:pStyle w:val="ListBullet"/>
        <w:spacing w:after="80"/>
      </w:pPr>
      <w:r>
        <w:rPr>
          <w:rFonts w:ascii="Times New Roman" w:hAnsi="Times New Roman"/>
          <w:b/>
          <w:i w:val="0"/>
          <w:sz w:val="21"/>
        </w:rPr>
        <w:t xml:space="preserve">Watch items. </w:t>
      </w:r>
      <w:r>
        <w:rPr>
          <w:rFonts w:ascii="Times New Roman" w:hAnsi="Times New Roman"/>
          <w:b w:val="0"/>
          <w:i w:val="0"/>
          <w:sz w:val="21"/>
        </w:rPr>
        <w:t>Q2 margins step down on back-loaded deployment; ~$33B+ in deferred/contracted backlog is concentrated in a few mega-deals (Meta, Microsoft); non-core units (Avride, TripleTen, Toloka) remain cash-consumptive and are being prepped for partners/spin.</w:t>
      </w:r>
    </w:p>
    <w:p>
      <w:pPr>
        <w:jc w:val="center"/>
      </w:pPr>
      <w:r>
        <w:drawing>
          <wp:inline xmlns:a="http://schemas.openxmlformats.org/drawingml/2006/main" xmlns:pic="http://schemas.openxmlformats.org/drawingml/2006/picture">
            <wp:extent cx="5212080" cy="3012621"/>
            <wp:docPr id="1" name="Picture 1"/>
            <wp:cNvGraphicFramePr>
              <a:graphicFrameLocks noChangeAspect="1"/>
            </wp:cNvGraphicFramePr>
            <a:graphic>
              <a:graphicData uri="http://schemas.openxmlformats.org/drawingml/2006/picture">
                <pic:pic>
                  <pic:nvPicPr>
                    <pic:cNvPr id="0" name="nbis_chart1_revenue.png"/>
                    <pic:cNvPicPr/>
                  </pic:nvPicPr>
                  <pic:blipFill>
                    <a:blip r:embed="rId10"/>
                    <a:stretch>
                      <a:fillRect/>
                    </a:stretch>
                  </pic:blipFill>
                  <pic:spPr>
                    <a:xfrm>
                      <a:off x="0" y="0"/>
                      <a:ext cx="5212080" cy="3012621"/>
                    </a:xfrm>
                    <a:prstGeom prst="rect"/>
                  </pic:spPr>
                </pic:pic>
              </a:graphicData>
            </a:graphic>
          </wp:inline>
        </w:drawing>
      </w:r>
    </w:p>
    <w:p>
      <w:pPr>
        <w:spacing w:after="200"/>
      </w:pPr>
      <w:r>
        <w:rPr>
          <w:rFonts w:ascii="Times New Roman" w:hAnsi="Times New Roman"/>
          <w:b w:val="0"/>
          <w:i/>
          <w:color w:val="666666"/>
          <w:sz w:val="16"/>
        </w:rPr>
        <w:t xml:space="preserve">Source: </w:t>
      </w:r>
      <w:r>
        <w:rPr>
          <w:rFonts w:ascii="Times New Roman" w:hAnsi="Times New Roman"/>
          <w:b w:val="0"/>
          <w:i/>
          <w:color w:val="666666"/>
          <w:sz w:val="16"/>
        </w:rPr>
        <w:t>Company quarterly press releases, Q1'25–Q1'26 (</w:t>
      </w:r>
      <w:hyperlink r:id="rId11">
        <w:r>
          <w:rPr>
            <w:rFonts w:ascii="Times New Roman" w:hAnsi="Times New Roman"/>
            <w:color w:val="1F6FEB"/>
            <w:u w:val="single"/>
            <w:sz w:val="20"/>
          </w:rPr>
          <w:t>SEC EDGAR 6-K filings</w:t>
        </w:r>
      </w:hyperlink>
      <w:r>
        <w:rPr>
          <w:rFonts w:ascii="Times New Roman" w:hAnsi="Times New Roman"/>
          <w:b w:val="0"/>
          <w:i/>
          <w:color w:val="666666"/>
          <w:sz w:val="16"/>
        </w:rPr>
        <w:t>).</w:t>
      </w:r>
    </w:p>
    <w:p>
      <w:r>
        <w:br w:type="page"/>
      </w:r>
    </w:p>
    <w:p>
      <w:pPr>
        <w:spacing w:after="80" w:before="200"/>
      </w:pPr>
      <w:r>
        <w:rPr>
          <w:rFonts w:ascii="Times New Roman" w:hAnsi="Times New Roman"/>
          <w:b/>
          <w:i w:val="0"/>
          <w:color w:val="0B2545"/>
          <w:sz w:val="28"/>
        </w:rPr>
        <w:t>1.  Results Detail — Beat Across the Board</w:t>
      </w:r>
    </w:p>
    <w:p>
      <w:pPr>
        <w:spacing w:after="60" w:before="0"/>
      </w:pPr>
      <w:r>
        <w:rPr>
          <w:rFonts w:ascii="Times New Roman" w:hAnsi="Times New Roman"/>
          <w:b/>
          <w:i w:val="0"/>
          <w:color w:val="1F6FEB"/>
          <w:sz w:val="23"/>
        </w:rPr>
        <w:t>Revenue Beat Driven by AI Cloud Ramp</w:t>
      </w:r>
    </w:p>
    <w:p>
      <w:pPr>
        <w:spacing w:after="120" w:before="0"/>
      </w:pPr>
      <w:r>
        <w:rPr>
          <w:rFonts w:ascii="Times New Roman" w:hAnsi="Times New Roman"/>
          <w:b w:val="0"/>
          <w:i w:val="0"/>
          <w:sz w:val="21"/>
        </w:rPr>
        <w:t>Group revenue of $399.0M beat consensus of $391.6M by ~1.9% and grew 75% sequentially. Nebius AI Cloud revenue was $389.7M (+841% YoY, +82% QoQ), now 98% of the group. The outperformance was driven by faster-than-expected capacity coming online and immediate monetization — utilization remains effectively sold-out. ARR (annualized run-rate of the core infrastructure business) rose to $1.92B, +54% QoQ, implying asset productivity of ~$0.94M of ARR per active MW.</w:t>
      </w:r>
    </w:p>
    <w:p>
      <w:pPr>
        <w:jc w:val="center"/>
      </w:pPr>
      <w:r>
        <w:drawing>
          <wp:inline xmlns:a="http://schemas.openxmlformats.org/drawingml/2006/main" xmlns:pic="http://schemas.openxmlformats.org/drawingml/2006/picture">
            <wp:extent cx="5212080" cy="3012621"/>
            <wp:docPr id="2" name="Picture 2"/>
            <wp:cNvGraphicFramePr>
              <a:graphicFrameLocks noChangeAspect="1"/>
            </wp:cNvGraphicFramePr>
            <a:graphic>
              <a:graphicData uri="http://schemas.openxmlformats.org/drawingml/2006/picture">
                <pic:pic>
                  <pic:nvPicPr>
                    <pic:cNvPr id="0" name="nbis_chart2_arr.png"/>
                    <pic:cNvPicPr/>
                  </pic:nvPicPr>
                  <pic:blipFill>
                    <a:blip r:embed="rId12"/>
                    <a:stretch>
                      <a:fillRect/>
                    </a:stretch>
                  </pic:blipFill>
                  <pic:spPr>
                    <a:xfrm>
                      <a:off x="0" y="0"/>
                      <a:ext cx="5212080" cy="3012621"/>
                    </a:xfrm>
                    <a:prstGeom prst="rect"/>
                  </pic:spPr>
                </pic:pic>
              </a:graphicData>
            </a:graphic>
          </wp:inline>
        </w:drawing>
      </w:r>
    </w:p>
    <w:p>
      <w:pPr>
        <w:spacing w:after="200"/>
      </w:pPr>
      <w:r>
        <w:rPr>
          <w:rFonts w:ascii="Times New Roman" w:hAnsi="Times New Roman"/>
          <w:b w:val="0"/>
          <w:i/>
          <w:color w:val="666666"/>
          <w:sz w:val="16"/>
        </w:rPr>
        <w:t xml:space="preserve">Source: </w:t>
      </w:r>
      <w:r>
        <w:rPr>
          <w:rFonts w:ascii="Times New Roman" w:hAnsi="Times New Roman"/>
          <w:b w:val="0"/>
          <w:i/>
          <w:color w:val="666666"/>
          <w:sz w:val="16"/>
        </w:rPr>
        <w:t xml:space="preserve">Q1 2026 results press release, </w:t>
      </w:r>
      <w:hyperlink r:id="rId9">
        <w:r>
          <w:rPr>
            <w:rFonts w:ascii="Times New Roman" w:hAnsi="Times New Roman"/>
            <w:color w:val="1F6FEB"/>
            <w:u w:val="single"/>
            <w:sz w:val="20"/>
          </w:rPr>
          <w:t>Nebius IR (May 13, 2026)</w:t>
        </w:r>
      </w:hyperlink>
      <w:r>
        <w:rPr>
          <w:rFonts w:ascii="Times New Roman" w:hAnsi="Times New Roman"/>
          <w:b w:val="0"/>
          <w:i/>
          <w:color w:val="666666"/>
          <w:sz w:val="16"/>
        </w:rPr>
        <w:t>.</w:t>
      </w:r>
    </w:p>
    <w:p>
      <w:pPr>
        <w:spacing w:after="60" w:before="0"/>
      </w:pPr>
      <w:r>
        <w:rPr>
          <w:rFonts w:ascii="Times New Roman" w:hAnsi="Times New Roman"/>
          <w:b/>
          <w:i w:val="0"/>
          <w:color w:val="1F6FEB"/>
          <w:sz w:val="23"/>
        </w:rPr>
        <w:t>Profitability Inflection</w:t>
      </w:r>
    </w:p>
    <w:p>
      <w:pPr>
        <w:spacing w:after="120" w:before="0"/>
      </w:pPr>
      <w:r>
        <w:rPr>
          <w:rFonts w:ascii="Times New Roman" w:hAnsi="Times New Roman"/>
          <w:b w:val="0"/>
          <w:i w:val="0"/>
          <w:sz w:val="21"/>
        </w:rPr>
        <w:t>Group adjusted EBITDA was $129.5M (32% margin), up from $15.0M (7%) in Q4'25 and a $(53.7)M loss a year ago. The core AI cloud adjusted EBITDA margin expanded to 45% (from 24% in Q4'25) as fixed costs leveraged against the revenue ramp. Reported GAAP net income from continuing operations was $621.2M, but this is flattered by a one-time $780.6M gain on the revaluation of the ClickHouse equity stake; on an adjusted basis Nebius posted a net loss of $(100.3)M, or $(0.39) per share — a far narrower loss than the $(0.78) consensus.</w:t>
      </w:r>
    </w:p>
    <w:p>
      <w:pPr>
        <w:jc w:val="center"/>
      </w:pPr>
      <w:r>
        <w:drawing>
          <wp:inline xmlns:a="http://schemas.openxmlformats.org/drawingml/2006/main" xmlns:pic="http://schemas.openxmlformats.org/drawingml/2006/picture">
            <wp:extent cx="5212080" cy="2963636"/>
            <wp:docPr id="3" name="Picture 3"/>
            <wp:cNvGraphicFramePr>
              <a:graphicFrameLocks noChangeAspect="1"/>
            </wp:cNvGraphicFramePr>
            <a:graphic>
              <a:graphicData uri="http://schemas.openxmlformats.org/drawingml/2006/picture">
                <pic:pic>
                  <pic:nvPicPr>
                    <pic:cNvPr id="0" name="nbis_chart3_ebitda.png"/>
                    <pic:cNvPicPr/>
                  </pic:nvPicPr>
                  <pic:blipFill>
                    <a:blip r:embed="rId13"/>
                    <a:stretch>
                      <a:fillRect/>
                    </a:stretch>
                  </pic:blipFill>
                  <pic:spPr>
                    <a:xfrm>
                      <a:off x="0" y="0"/>
                      <a:ext cx="5212080" cy="2963636"/>
                    </a:xfrm>
                    <a:prstGeom prst="rect"/>
                  </pic:spPr>
                </pic:pic>
              </a:graphicData>
            </a:graphic>
          </wp:inline>
        </w:drawing>
      </w:r>
    </w:p>
    <w:p>
      <w:pPr>
        <w:spacing w:after="200"/>
      </w:pPr>
      <w:r>
        <w:rPr>
          <w:rFonts w:ascii="Times New Roman" w:hAnsi="Times New Roman"/>
          <w:b w:val="0"/>
          <w:i/>
          <w:color w:val="666666"/>
          <w:sz w:val="16"/>
        </w:rPr>
        <w:t xml:space="preserve">Source: </w:t>
      </w:r>
      <w:r>
        <w:rPr>
          <w:rFonts w:ascii="Times New Roman" w:hAnsi="Times New Roman"/>
          <w:b w:val="0"/>
          <w:i/>
          <w:color w:val="666666"/>
          <w:sz w:val="16"/>
        </w:rPr>
        <w:t xml:space="preserve">Q1 2026 6-K and results release; Q2'25/Q3'25 adj. EBITDA interpolated for trend. </w:t>
      </w:r>
      <w:hyperlink r:id="rId11">
        <w:r>
          <w:rPr>
            <w:rFonts w:ascii="Times New Roman" w:hAnsi="Times New Roman"/>
            <w:color w:val="1F6FEB"/>
            <w:u w:val="single"/>
            <w:sz w:val="20"/>
          </w:rPr>
          <w:t>SEC EDGAR</w:t>
        </w:r>
      </w:hyperlink>
      <w:r>
        <w:rPr>
          <w:rFonts w:ascii="Times New Roman" w:hAnsi="Times New Roman"/>
          <w:b w:val="0"/>
          <w:i/>
          <w:color w:val="666666"/>
          <w:sz w:val="16"/>
        </w:rPr>
        <w:t>.</w:t>
      </w:r>
    </w:p>
    <w:p>
      <w:pPr>
        <w:spacing w:after="60" w:before="0"/>
      </w:pPr>
      <w:r>
        <w:rPr>
          <w:rFonts w:ascii="Times New Roman" w:hAnsi="Times New Roman"/>
          <w:b/>
          <w:i w:val="0"/>
          <w:color w:val="1F6FEB"/>
          <w:sz w:val="23"/>
        </w:rPr>
        <w:t>Beat / Miss Summary</w:t>
      </w:r>
    </w:p>
    <w:p>
      <w:pPr>
        <w:spacing w:after="120" w:before="0"/>
      </w:pPr>
      <w:r>
        <w:rPr>
          <w:rFonts w:ascii="Times New Roman" w:hAnsi="Times New Roman"/>
          <w:b w:val="0"/>
          <w:i w:val="0"/>
          <w:sz w:val="21"/>
        </w:rPr>
        <w:t>Nebius beat on revenue, adjusted EBITDA, and EPS. The stock rallied ~20% on the print, reflecting both the operational beat and the strategic Meta/NVIDIA validation.</w:t>
      </w:r>
    </w:p>
    <w:p>
      <w:pPr>
        <w:jc w:val="center"/>
      </w:pPr>
      <w:r>
        <w:drawing>
          <wp:inline xmlns:a="http://schemas.openxmlformats.org/drawingml/2006/main" xmlns:pic="http://schemas.openxmlformats.org/drawingml/2006/picture">
            <wp:extent cx="5212080" cy="2862974"/>
            <wp:docPr id="4" name="Picture 4"/>
            <wp:cNvGraphicFramePr>
              <a:graphicFrameLocks noChangeAspect="1"/>
            </wp:cNvGraphicFramePr>
            <a:graphic>
              <a:graphicData uri="http://schemas.openxmlformats.org/drawingml/2006/picture">
                <pic:pic>
                  <pic:nvPicPr>
                    <pic:cNvPr id="0" name="nbis_chart4_beatmiss.png"/>
                    <pic:cNvPicPr/>
                  </pic:nvPicPr>
                  <pic:blipFill>
                    <a:blip r:embed="rId14"/>
                    <a:stretch>
                      <a:fillRect/>
                    </a:stretch>
                  </pic:blipFill>
                  <pic:spPr>
                    <a:xfrm>
                      <a:off x="0" y="0"/>
                      <a:ext cx="5212080" cy="2862974"/>
                    </a:xfrm>
                    <a:prstGeom prst="rect"/>
                  </pic:spPr>
                </pic:pic>
              </a:graphicData>
            </a:graphic>
          </wp:inline>
        </w:drawing>
      </w:r>
    </w:p>
    <w:p>
      <w:pPr>
        <w:spacing w:after="200"/>
      </w:pPr>
      <w:r>
        <w:rPr>
          <w:rFonts w:ascii="Times New Roman" w:hAnsi="Times New Roman"/>
          <w:b w:val="0"/>
          <w:i/>
          <w:color w:val="666666"/>
          <w:sz w:val="16"/>
        </w:rPr>
        <w:t xml:space="preserve">Source: </w:t>
      </w:r>
      <w:r>
        <w:rPr>
          <w:rFonts w:ascii="Times New Roman" w:hAnsi="Times New Roman"/>
          <w:b w:val="0"/>
          <w:i/>
          <w:color w:val="666666"/>
          <w:sz w:val="16"/>
        </w:rPr>
        <w:t xml:space="preserve">Actuals per Q1 2026 release; consensus per Investing.com / Visible Alpha as of May 12, 2026. </w:t>
      </w:r>
      <w:hyperlink r:id="rId15">
        <w:r>
          <w:rPr>
            <w:rFonts w:ascii="Times New Roman" w:hAnsi="Times New Roman"/>
            <w:color w:val="1F6FEB"/>
            <w:u w:val="single"/>
            <w:sz w:val="20"/>
          </w:rPr>
          <w:t>Investing.com transcript</w:t>
        </w:r>
      </w:hyperlink>
      <w:r>
        <w:rPr>
          <w:rFonts w:ascii="Times New Roman" w:hAnsi="Times New Roman"/>
          <w:b w:val="0"/>
          <w:i/>
          <w:color w:val="666666"/>
          <w:sz w:val="16"/>
        </w:rPr>
        <w:t>.</w:t>
      </w:r>
    </w:p>
    <w:p>
      <w:r>
        <w:br w:type="page"/>
      </w:r>
    </w:p>
    <w:p>
      <w:pPr>
        <w:spacing w:after="80" w:before="200"/>
      </w:pPr>
      <w:r>
        <w:rPr>
          <w:rFonts w:ascii="Times New Roman" w:hAnsi="Times New Roman"/>
          <w:b/>
          <w:i w:val="0"/>
          <w:color w:val="0B2545"/>
          <w:sz w:val="28"/>
        </w:rPr>
        <w:t>2.  Key Metrics, Capacity &amp; Capital</w:t>
      </w:r>
    </w:p>
    <w:p>
      <w:pPr>
        <w:spacing w:after="60" w:before="0"/>
      </w:pPr>
      <w:r>
        <w:rPr>
          <w:rFonts w:ascii="Times New Roman" w:hAnsi="Times New Roman"/>
          <w:b/>
          <w:i w:val="0"/>
          <w:color w:val="1F6FEB"/>
          <w:sz w:val="23"/>
        </w:rPr>
        <w:t>Capacity: Contracting Ahead of Demand</w:t>
      </w:r>
    </w:p>
    <w:p>
      <w:pPr>
        <w:spacing w:after="120" w:before="0"/>
      </w:pPr>
      <w:r>
        <w:rPr>
          <w:rFonts w:ascii="Times New Roman" w:hAnsi="Times New Roman"/>
          <w:b w:val="0"/>
          <w:i w:val="0"/>
          <w:sz w:val="21"/>
        </w:rPr>
        <w:t>Nebius contracted &gt;3.5 GW of power (up from ~2 GW the prior quarter) and raised its YE-2026 target to &gt;4 GW. It announced a new 1.2 GW owned AI factory in Pennsylvania — its second US gigawatt-scale owned site — and now owns &gt;75% of its capacity stack, a structural cost and control advantage versus lease-heavy neocloud peers. Data-center sites above 100 MW grew to 7 (from 1 at YE-2025). The Pennsylvania facility brings 250–300 MW online by end-2027, scaling to the full 1.2 GW by 2030; Alabama and Missouri projects begin contributing in early 2027.</w:t>
      </w:r>
    </w:p>
    <w:p>
      <w:pPr>
        <w:jc w:val="center"/>
      </w:pPr>
      <w:r>
        <w:drawing>
          <wp:inline xmlns:a="http://schemas.openxmlformats.org/drawingml/2006/main" xmlns:pic="http://schemas.openxmlformats.org/drawingml/2006/picture">
            <wp:extent cx="5120640" cy="2779089"/>
            <wp:docPr id="5" name="Picture 5"/>
            <wp:cNvGraphicFramePr>
              <a:graphicFrameLocks noChangeAspect="1"/>
            </wp:cNvGraphicFramePr>
            <a:graphic>
              <a:graphicData uri="http://schemas.openxmlformats.org/drawingml/2006/picture">
                <pic:pic>
                  <pic:nvPicPr>
                    <pic:cNvPr id="0" name="nbis_chart5_power.png"/>
                    <pic:cNvPicPr/>
                  </pic:nvPicPr>
                  <pic:blipFill>
                    <a:blip r:embed="rId16"/>
                    <a:stretch>
                      <a:fillRect/>
                    </a:stretch>
                  </pic:blipFill>
                  <pic:spPr>
                    <a:xfrm>
                      <a:off x="0" y="0"/>
                      <a:ext cx="5120640" cy="2779089"/>
                    </a:xfrm>
                    <a:prstGeom prst="rect"/>
                  </pic:spPr>
                </pic:pic>
              </a:graphicData>
            </a:graphic>
          </wp:inline>
        </w:drawing>
      </w:r>
    </w:p>
    <w:p>
      <w:pPr>
        <w:spacing w:after="200"/>
      </w:pPr>
      <w:r>
        <w:rPr>
          <w:rFonts w:ascii="Times New Roman" w:hAnsi="Times New Roman"/>
          <w:b w:val="0"/>
          <w:i/>
          <w:color w:val="666666"/>
          <w:sz w:val="16"/>
        </w:rPr>
        <w:t xml:space="preserve">Source: </w:t>
      </w:r>
      <w:r>
        <w:rPr>
          <w:rFonts w:ascii="Times New Roman" w:hAnsi="Times New Roman"/>
          <w:b w:val="0"/>
          <w:i/>
          <w:color w:val="666666"/>
          <w:sz w:val="16"/>
        </w:rPr>
        <w:t xml:space="preserve">Q1 2026 CEO letter to shareholders &amp; earnings call (May 13, 2026). </w:t>
      </w:r>
      <w:hyperlink r:id="rId9">
        <w:r>
          <w:rPr>
            <w:rFonts w:ascii="Times New Roman" w:hAnsi="Times New Roman"/>
            <w:color w:val="1F6FEB"/>
            <w:u w:val="single"/>
            <w:sz w:val="20"/>
          </w:rPr>
          <w:t>Nebius IR</w:t>
        </w:r>
      </w:hyperlink>
      <w:r>
        <w:rPr>
          <w:rFonts w:ascii="Times New Roman" w:hAnsi="Times New Roman"/>
          <w:b w:val="0"/>
          <w:i/>
          <w:color w:val="666666"/>
          <w:sz w:val="16"/>
        </w:rPr>
        <w:t>.</w:t>
      </w:r>
    </w:p>
    <w:p>
      <w:pPr>
        <w:spacing w:after="60" w:before="0"/>
      </w:pPr>
      <w:r>
        <w:rPr>
          <w:rFonts w:ascii="Times New Roman" w:hAnsi="Times New Roman"/>
          <w:b/>
          <w:i w:val="0"/>
          <w:color w:val="1F6FEB"/>
          <w:sz w:val="23"/>
        </w:rPr>
        <w:t>Capital: $9.3B Cash, &gt;90% of Capex Funded</w:t>
      </w:r>
    </w:p>
    <w:p>
      <w:pPr>
        <w:spacing w:after="120" w:before="0"/>
      </w:pPr>
      <w:r>
        <w:rPr>
          <w:rFonts w:ascii="Times New Roman" w:hAnsi="Times New Roman"/>
          <w:b w:val="0"/>
          <w:i w:val="0"/>
          <w:sz w:val="21"/>
        </w:rPr>
        <w:t>Nebius raised over $6B in Q1 — ~$4.3B of convertible senior notes (1.25%–2.60% coupons) and a $2.0B equity investment from NVIDIA — closing the quarter with $9.3B cash against $8.4B non-current debt. Operating cash flow turned strongly positive at +$2.3B. Management states &gt;90% of current-plan capex is already secured by cash and contractual commitments, materially de-risking the funding of the 2026–27 build-out.</w:t>
      </w:r>
    </w:p>
    <w:p>
      <w:pPr>
        <w:jc w:val="center"/>
      </w:pPr>
      <w:r>
        <w:drawing>
          <wp:inline xmlns:a="http://schemas.openxmlformats.org/drawingml/2006/main" xmlns:pic="http://schemas.openxmlformats.org/drawingml/2006/picture">
            <wp:extent cx="5394960" cy="3032815"/>
            <wp:docPr id="6" name="Picture 6"/>
            <wp:cNvGraphicFramePr>
              <a:graphicFrameLocks noChangeAspect="1"/>
            </wp:cNvGraphicFramePr>
            <a:graphic>
              <a:graphicData uri="http://schemas.openxmlformats.org/drawingml/2006/picture">
                <pic:pic>
                  <pic:nvPicPr>
                    <pic:cNvPr id="0" name="nbis_chart6_liquidity.png"/>
                    <pic:cNvPicPr/>
                  </pic:nvPicPr>
                  <pic:blipFill>
                    <a:blip r:embed="rId17"/>
                    <a:stretch>
                      <a:fillRect/>
                    </a:stretch>
                  </pic:blipFill>
                  <pic:spPr>
                    <a:xfrm>
                      <a:off x="0" y="0"/>
                      <a:ext cx="5394960" cy="3032815"/>
                    </a:xfrm>
                    <a:prstGeom prst="rect"/>
                  </pic:spPr>
                </pic:pic>
              </a:graphicData>
            </a:graphic>
          </wp:inline>
        </w:drawing>
      </w:r>
    </w:p>
    <w:p>
      <w:pPr>
        <w:spacing w:after="200"/>
      </w:pPr>
      <w:r>
        <w:rPr>
          <w:rFonts w:ascii="Times New Roman" w:hAnsi="Times New Roman"/>
          <w:b w:val="0"/>
          <w:i/>
          <w:color w:val="666666"/>
          <w:sz w:val="16"/>
        </w:rPr>
        <w:t xml:space="preserve">Source: </w:t>
      </w:r>
      <w:r>
        <w:rPr>
          <w:rFonts w:ascii="Times New Roman" w:hAnsi="Times New Roman"/>
          <w:b w:val="0"/>
          <w:i/>
          <w:color w:val="666666"/>
          <w:sz w:val="16"/>
        </w:rPr>
        <w:t xml:space="preserve">Q1 2026 6-K, cash flow &amp; financing statements. </w:t>
      </w:r>
      <w:hyperlink r:id="rId11">
        <w:r>
          <w:rPr>
            <w:rFonts w:ascii="Times New Roman" w:hAnsi="Times New Roman"/>
            <w:color w:val="1F6FEB"/>
            <w:u w:val="single"/>
            <w:sz w:val="20"/>
          </w:rPr>
          <w:t>SEC EDGAR 6-K (May 13, 2026)</w:t>
        </w:r>
      </w:hyperlink>
      <w:r>
        <w:rPr>
          <w:rFonts w:ascii="Times New Roman" w:hAnsi="Times New Roman"/>
          <w:b w:val="0"/>
          <w:i/>
          <w:color w:val="666666"/>
          <w:sz w:val="16"/>
        </w:rPr>
        <w:t>.</w:t>
      </w:r>
    </w:p>
    <w:p>
      <w:pPr>
        <w:spacing w:after="60" w:before="0"/>
      </w:pPr>
      <w:r>
        <w:rPr>
          <w:rFonts w:ascii="Times New Roman" w:hAnsi="Times New Roman"/>
          <w:b/>
          <w:i w:val="0"/>
          <w:color w:val="1F6FEB"/>
          <w:sz w:val="23"/>
        </w:rPr>
        <w:t>The Meta &amp; NVIDIA Strategic Anchors</w:t>
      </w:r>
    </w:p>
    <w:p>
      <w:pPr>
        <w:pStyle w:val="ListBullet"/>
        <w:spacing w:after="80"/>
      </w:pPr>
      <w:r>
        <w:rPr>
          <w:rFonts w:ascii="Times New Roman" w:hAnsi="Times New Roman"/>
          <w:b/>
          <w:i w:val="0"/>
          <w:sz w:val="21"/>
        </w:rPr>
        <w:t xml:space="preserve">Meta — $27B / 5 years: </w:t>
      </w:r>
      <w:r>
        <w:rPr>
          <w:rFonts w:ascii="Times New Roman" w:hAnsi="Times New Roman"/>
          <w:b w:val="0"/>
          <w:i w:val="0"/>
          <w:sz w:val="21"/>
        </w:rPr>
        <w:t>$12B of dedicated compute commitment plus $15B of optional capacity Nebius can resell to AI cloud customers at market rates, with Meta as backstop — an asset-backed financing tailwind.</w:t>
      </w:r>
    </w:p>
    <w:p>
      <w:pPr>
        <w:pStyle w:val="ListBullet"/>
        <w:spacing w:after="80"/>
      </w:pPr>
      <w:r>
        <w:rPr>
          <w:rFonts w:ascii="Times New Roman" w:hAnsi="Times New Roman"/>
          <w:b/>
          <w:i w:val="0"/>
          <w:sz w:val="21"/>
        </w:rPr>
        <w:t xml:space="preserve">NVIDIA — $2B equity + preferred-builder status: </w:t>
      </w:r>
      <w:r>
        <w:rPr>
          <w:rFonts w:ascii="Times New Roman" w:hAnsi="Times New Roman"/>
          <w:b w:val="0"/>
          <w:i w:val="0"/>
          <w:sz w:val="21"/>
        </w:rPr>
        <w:t>Exemplar Cloud status on GB300 for training and differentiated access to future Vera Rubin / CPU platforms reinforces supply priority.</w:t>
      </w:r>
    </w:p>
    <w:p>
      <w:pPr>
        <w:pStyle w:val="ListBullet"/>
        <w:spacing w:after="80"/>
      </w:pPr>
      <w:r>
        <w:rPr>
          <w:rFonts w:ascii="Times New Roman" w:hAnsi="Times New Roman"/>
          <w:b/>
          <w:i w:val="0"/>
          <w:sz w:val="21"/>
        </w:rPr>
        <w:t xml:space="preserve">Tuck-in M&amp;A: </w:t>
      </w:r>
      <w:r>
        <w:rPr>
          <w:rFonts w:ascii="Times New Roman" w:hAnsi="Times New Roman"/>
          <w:b w:val="0"/>
          <w:i w:val="0"/>
          <w:sz w:val="21"/>
        </w:rPr>
        <w:t>Tavily, Eigen AI and Clarifai acquired to accelerate the inference / agent roadmap (Token Factory) — talent and tech, not standalone revenue.</w:t>
      </w:r>
    </w:p>
    <w:p>
      <w:r>
        <w:br w:type="page"/>
      </w:r>
    </w:p>
    <w:p>
      <w:pPr>
        <w:spacing w:after="80" w:before="200"/>
      </w:pPr>
      <w:r>
        <w:rPr>
          <w:rFonts w:ascii="Times New Roman" w:hAnsi="Times New Roman"/>
          <w:b/>
          <w:i w:val="0"/>
          <w:color w:val="0B2545"/>
          <w:sz w:val="28"/>
        </w:rPr>
        <w:t>3.  Guidance &amp; Updated Estimates</w:t>
      </w:r>
    </w:p>
    <w:p>
      <w:pPr>
        <w:spacing w:after="60" w:before="0"/>
      </w:pPr>
      <w:r>
        <w:rPr>
          <w:rFonts w:ascii="Times New Roman" w:hAnsi="Times New Roman"/>
          <w:b/>
          <w:i w:val="0"/>
          <w:color w:val="1F6FEB"/>
          <w:sz w:val="23"/>
        </w:rPr>
        <w:t>FY2026 Guidance Reiterated; Capex Raised</w:t>
      </w:r>
    </w:p>
    <w:p>
      <w:pPr>
        <w:spacing w:after="120" w:before="0"/>
      </w:pPr>
      <w:r>
        <w:rPr>
          <w:rFonts w:ascii="Times New Roman" w:hAnsi="Times New Roman"/>
          <w:b w:val="0"/>
          <w:i w:val="0"/>
          <w:sz w:val="21"/>
        </w:rPr>
        <w:t>Management reiterated full-year 2026 targets of $7–9B exit-ARR, $3.0–3.4B group revenue, and ~40% group adjusted EBITDA margin, while raising 2026 capex to $20–25B (from $16–20B). The capex raise funds additional 2027 capacity that should begin contributing revenue in H1 2027 — i.e., it is growth capex against contracted demand, not speculative. Q2 margins are guided lower on back-end-weighted capacity deployment, recovering to Q1 levels in Q3 and higher in Q4.</w:t>
      </w:r>
    </w:p>
    <w:p>
      <w:pPr>
        <w:jc w:val="center"/>
      </w:pPr>
      <w:r>
        <w:drawing>
          <wp:inline xmlns:a="http://schemas.openxmlformats.org/drawingml/2006/main" xmlns:pic="http://schemas.openxmlformats.org/drawingml/2006/picture">
            <wp:extent cx="4023360" cy="2254637"/>
            <wp:docPr id="7" name="Picture 7"/>
            <wp:cNvGraphicFramePr>
              <a:graphicFrameLocks noChangeAspect="1"/>
            </wp:cNvGraphicFramePr>
            <a:graphic>
              <a:graphicData uri="http://schemas.openxmlformats.org/drawingml/2006/picture">
                <pic:pic>
                  <pic:nvPicPr>
                    <pic:cNvPr id="0" name="nbis_chart7_capex.png"/>
                    <pic:cNvPicPr/>
                  </pic:nvPicPr>
                  <pic:blipFill>
                    <a:blip r:embed="rId18"/>
                    <a:stretch>
                      <a:fillRect/>
                    </a:stretch>
                  </pic:blipFill>
                  <pic:spPr>
                    <a:xfrm>
                      <a:off x="0" y="0"/>
                      <a:ext cx="4023360" cy="2254637"/>
                    </a:xfrm>
                    <a:prstGeom prst="rect"/>
                  </pic:spPr>
                </pic:pic>
              </a:graphicData>
            </a:graphic>
          </wp:inline>
        </w:drawing>
      </w:r>
    </w:p>
    <w:p>
      <w:pPr>
        <w:spacing w:after="200"/>
      </w:pPr>
      <w:r>
        <w:rPr>
          <w:rFonts w:ascii="Times New Roman" w:hAnsi="Times New Roman"/>
          <w:b w:val="0"/>
          <w:i/>
          <w:color w:val="666666"/>
          <w:sz w:val="16"/>
        </w:rPr>
        <w:t xml:space="preserve">Source: </w:t>
      </w:r>
      <w:r>
        <w:rPr>
          <w:rFonts w:ascii="Times New Roman" w:hAnsi="Times New Roman"/>
          <w:b w:val="0"/>
          <w:i/>
          <w:color w:val="666666"/>
          <w:sz w:val="16"/>
        </w:rPr>
        <w:t>Q1 2026 earnings call &amp; CEO letter (May 13, 2026).</w:t>
      </w:r>
    </w:p>
    <w:p>
      <w:pPr>
        <w:jc w:val="center"/>
      </w:pPr>
      <w:r>
        <w:drawing>
          <wp:inline xmlns:a="http://schemas.openxmlformats.org/drawingml/2006/main" xmlns:pic="http://schemas.openxmlformats.org/drawingml/2006/picture">
            <wp:extent cx="5212080" cy="2862974"/>
            <wp:docPr id="8" name="Picture 8"/>
            <wp:cNvGraphicFramePr>
              <a:graphicFrameLocks noChangeAspect="1"/>
            </wp:cNvGraphicFramePr>
            <a:graphic>
              <a:graphicData uri="http://schemas.openxmlformats.org/drawingml/2006/picture">
                <pic:pic>
                  <pic:nvPicPr>
                    <pic:cNvPr id="0" name="nbis_chart8_guidance.png"/>
                    <pic:cNvPicPr/>
                  </pic:nvPicPr>
                  <pic:blipFill>
                    <a:blip r:embed="rId19"/>
                    <a:stretch>
                      <a:fillRect/>
                    </a:stretch>
                  </pic:blipFill>
                  <pic:spPr>
                    <a:xfrm>
                      <a:off x="0" y="0"/>
                      <a:ext cx="5212080" cy="2862974"/>
                    </a:xfrm>
                    <a:prstGeom prst="rect"/>
                  </pic:spPr>
                </pic:pic>
              </a:graphicData>
            </a:graphic>
          </wp:inline>
        </w:drawing>
      </w:r>
    </w:p>
    <w:p>
      <w:pPr>
        <w:spacing w:after="200"/>
      </w:pPr>
      <w:r>
        <w:rPr>
          <w:rFonts w:ascii="Times New Roman" w:hAnsi="Times New Roman"/>
          <w:b w:val="0"/>
          <w:i/>
          <w:color w:val="666666"/>
          <w:sz w:val="16"/>
        </w:rPr>
        <w:t xml:space="preserve">Source: </w:t>
      </w:r>
      <w:r>
        <w:rPr>
          <w:rFonts w:ascii="Times New Roman" w:hAnsi="Times New Roman"/>
          <w:b w:val="0"/>
          <w:i/>
          <w:color w:val="666666"/>
          <w:sz w:val="16"/>
        </w:rPr>
        <w:t xml:space="preserve">Q1 2026 earnings call, management guidance (reiterated). </w:t>
      </w:r>
      <w:hyperlink r:id="rId20">
        <w:r>
          <w:rPr>
            <w:rFonts w:ascii="Times New Roman" w:hAnsi="Times New Roman"/>
            <w:color w:val="1F6FEB"/>
            <w:u w:val="single"/>
            <w:sz w:val="20"/>
          </w:rPr>
          <w:t>The Motley Fool transcript</w:t>
        </w:r>
      </w:hyperlink>
      <w:r>
        <w:rPr>
          <w:rFonts w:ascii="Times New Roman" w:hAnsi="Times New Roman"/>
          <w:b w:val="0"/>
          <w:i/>
          <w:color w:val="666666"/>
          <w:sz w:val="16"/>
        </w:rPr>
        <w:t>.</w:t>
      </w:r>
    </w:p>
    <w:p>
      <w:pPr>
        <w:spacing w:after="60" w:before="80"/>
      </w:pPr>
      <w:r>
        <w:rPr>
          <w:rFonts w:ascii="Times New Roman" w:hAnsi="Times New Roman"/>
          <w:b/>
          <w:i w:val="0"/>
          <w:color w:val="1F6FEB"/>
          <w:sz w:val="23"/>
        </w:rPr>
        <w:t>Updated Estimates (Old vs. New)</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val="clear" w:color="auto" w:fill="0B2545"/>
          </w:tcPr>
          <w:p>
            <w:pPr>
              <w:spacing w:after="20" w:before="20"/>
              <w:jc w:val="center"/>
            </w:pPr>
            <w:r/>
            <w:r>
              <w:rPr>
                <w:rFonts w:ascii="Times New Roman" w:hAnsi="Times New Roman"/>
                <w:b/>
                <w:i w:val="0"/>
                <w:color w:val="FFFFFF"/>
                <w:sz w:val="19"/>
              </w:rPr>
              <w:t>Estimate</w:t>
            </w:r>
          </w:p>
        </w:tc>
        <w:tc>
          <w:tcPr>
            <w:tcW w:type="dxa" w:w="1987"/>
            <w:shd w:val="clear" w:color="auto" w:fill="0B2545"/>
          </w:tcPr>
          <w:p>
            <w:pPr>
              <w:spacing w:after="20" w:before="20"/>
              <w:jc w:val="center"/>
            </w:pPr>
            <w:r/>
            <w:r>
              <w:rPr>
                <w:rFonts w:ascii="Times New Roman" w:hAnsi="Times New Roman"/>
                <w:b/>
                <w:i w:val="0"/>
                <w:color w:val="FFFFFF"/>
                <w:sz w:val="19"/>
              </w:rPr>
              <w:t>Old</w:t>
            </w:r>
          </w:p>
        </w:tc>
        <w:tc>
          <w:tcPr>
            <w:tcW w:type="dxa" w:w="1987"/>
            <w:shd w:val="clear" w:color="auto" w:fill="0B2545"/>
          </w:tcPr>
          <w:p>
            <w:pPr>
              <w:spacing w:after="20" w:before="20"/>
              <w:jc w:val="center"/>
            </w:pPr>
            <w:r/>
            <w:r>
              <w:rPr>
                <w:rFonts w:ascii="Times New Roman" w:hAnsi="Times New Roman"/>
                <w:b/>
                <w:i w:val="0"/>
                <w:color w:val="FFFFFF"/>
                <w:sz w:val="19"/>
              </w:rPr>
              <w:t>New</w:t>
            </w:r>
          </w:p>
        </w:tc>
        <w:tc>
          <w:tcPr>
            <w:tcW w:type="dxa" w:w="1987"/>
            <w:shd w:val="clear" w:color="auto" w:fill="0B2545"/>
          </w:tcPr>
          <w:p>
            <w:pPr>
              <w:spacing w:after="20" w:before="20"/>
              <w:jc w:val="center"/>
            </w:pPr>
            <w:r/>
            <w:r>
              <w:rPr>
                <w:rFonts w:ascii="Times New Roman" w:hAnsi="Times New Roman"/>
                <w:b/>
                <w:i w:val="0"/>
                <w:color w:val="FFFFFF"/>
                <w:sz w:val="19"/>
              </w:rPr>
              <w:t>Change</w:t>
            </w:r>
          </w:p>
        </w:tc>
        <w:tc>
          <w:tcPr>
            <w:tcW w:type="dxa" w:w="1987"/>
            <w:shd w:val="clear" w:color="auto" w:fill="0B2545"/>
          </w:tcPr>
          <w:p>
            <w:pPr>
              <w:spacing w:after="20" w:before="20"/>
              <w:jc w:val="center"/>
            </w:pPr>
            <w:r/>
            <w:r>
              <w:rPr>
                <w:rFonts w:ascii="Times New Roman" w:hAnsi="Times New Roman"/>
                <w:b/>
                <w:i w:val="0"/>
                <w:color w:val="FFFFFF"/>
                <w:sz w:val="19"/>
              </w:rPr>
              <w:t>Driver</w:t>
            </w:r>
          </w:p>
        </w:tc>
      </w:tr>
      <w:tr>
        <w:tc>
          <w:tcPr>
            <w:tcW w:type="dxa" w:w="1987"/>
          </w:tcPr>
          <w:p>
            <w:pPr>
              <w:spacing w:after="20" w:before="20"/>
              <w:jc w:val="left"/>
            </w:pPr>
            <w:r/>
            <w:r>
              <w:rPr>
                <w:rFonts w:ascii="Times New Roman" w:hAnsi="Times New Roman"/>
                <w:b/>
                <w:i w:val="0"/>
                <w:sz w:val="18"/>
              </w:rPr>
              <w:t>FY26E revenue</w:t>
            </w:r>
          </w:p>
        </w:tc>
        <w:tc>
          <w:tcPr>
            <w:tcW w:type="dxa" w:w="1987"/>
          </w:tcPr>
          <w:p>
            <w:pPr>
              <w:spacing w:after="20" w:before="20"/>
              <w:jc w:val="center"/>
            </w:pPr>
            <w:r/>
            <w:r>
              <w:rPr>
                <w:rFonts w:ascii="Times New Roman" w:hAnsi="Times New Roman"/>
                <w:b w:val="0"/>
                <w:i w:val="0"/>
                <w:sz w:val="18"/>
              </w:rPr>
              <w:t>$3.1B</w:t>
            </w:r>
          </w:p>
        </w:tc>
        <w:tc>
          <w:tcPr>
            <w:tcW w:type="dxa" w:w="1987"/>
          </w:tcPr>
          <w:p>
            <w:pPr>
              <w:spacing w:after="20" w:before="20"/>
              <w:jc w:val="center"/>
            </w:pPr>
            <w:r/>
            <w:r>
              <w:rPr>
                <w:rFonts w:ascii="Times New Roman" w:hAnsi="Times New Roman"/>
                <w:b w:val="0"/>
                <w:i w:val="0"/>
                <w:sz w:val="18"/>
              </w:rPr>
              <w:t>$3.3B</w:t>
            </w:r>
          </w:p>
        </w:tc>
        <w:tc>
          <w:tcPr>
            <w:tcW w:type="dxa" w:w="1987"/>
          </w:tcPr>
          <w:p>
            <w:pPr>
              <w:spacing w:after="20" w:before="20"/>
              <w:jc w:val="center"/>
            </w:pPr>
            <w:r/>
            <w:r>
              <w:rPr>
                <w:rFonts w:ascii="Times New Roman" w:hAnsi="Times New Roman"/>
                <w:b w:val="0"/>
                <w:i w:val="0"/>
                <w:sz w:val="18"/>
              </w:rPr>
              <w:t>+6%</w:t>
            </w:r>
          </w:p>
        </w:tc>
        <w:tc>
          <w:tcPr>
            <w:tcW w:type="dxa" w:w="1987"/>
          </w:tcPr>
          <w:p>
            <w:pPr>
              <w:spacing w:after="20" w:before="20"/>
              <w:jc w:val="left"/>
            </w:pPr>
            <w:r/>
            <w:r>
              <w:rPr>
                <w:rFonts w:ascii="Times New Roman" w:hAnsi="Times New Roman"/>
                <w:b w:val="0"/>
                <w:i w:val="0"/>
                <w:sz w:val="18"/>
              </w:rPr>
              <w:t>Faster capacity online; sold-out utilization</w:t>
            </w:r>
          </w:p>
        </w:tc>
      </w:tr>
      <w:tr>
        <w:tc>
          <w:tcPr>
            <w:tcW w:type="dxa" w:w="1987"/>
          </w:tcPr>
          <w:p>
            <w:pPr>
              <w:spacing w:after="20" w:before="20"/>
              <w:jc w:val="left"/>
            </w:pPr>
            <w:r/>
            <w:r>
              <w:rPr>
                <w:rFonts w:ascii="Times New Roman" w:hAnsi="Times New Roman"/>
                <w:b/>
                <w:i w:val="0"/>
                <w:sz w:val="18"/>
              </w:rPr>
              <w:t>FY26E exit-ARR</w:t>
            </w:r>
          </w:p>
        </w:tc>
        <w:tc>
          <w:tcPr>
            <w:tcW w:type="dxa" w:w="1987"/>
          </w:tcPr>
          <w:p>
            <w:pPr>
              <w:spacing w:after="20" w:before="20"/>
              <w:jc w:val="center"/>
            </w:pPr>
            <w:r/>
            <w:r>
              <w:rPr>
                <w:rFonts w:ascii="Times New Roman" w:hAnsi="Times New Roman"/>
                <w:b w:val="0"/>
                <w:i w:val="0"/>
                <w:sz w:val="18"/>
              </w:rPr>
              <w:t>$7.5B</w:t>
            </w:r>
          </w:p>
        </w:tc>
        <w:tc>
          <w:tcPr>
            <w:tcW w:type="dxa" w:w="1987"/>
          </w:tcPr>
          <w:p>
            <w:pPr>
              <w:spacing w:after="20" w:before="20"/>
              <w:jc w:val="center"/>
            </w:pPr>
            <w:r/>
            <w:r>
              <w:rPr>
                <w:rFonts w:ascii="Times New Roman" w:hAnsi="Times New Roman"/>
                <w:b w:val="0"/>
                <w:i w:val="0"/>
                <w:sz w:val="18"/>
              </w:rPr>
              <w:t>$8.5B</w:t>
            </w:r>
          </w:p>
        </w:tc>
        <w:tc>
          <w:tcPr>
            <w:tcW w:type="dxa" w:w="1987"/>
          </w:tcPr>
          <w:p>
            <w:pPr>
              <w:spacing w:after="20" w:before="20"/>
              <w:jc w:val="center"/>
            </w:pPr>
            <w:r/>
            <w:r>
              <w:rPr>
                <w:rFonts w:ascii="Times New Roman" w:hAnsi="Times New Roman"/>
                <w:b w:val="0"/>
                <w:i w:val="0"/>
                <w:sz w:val="18"/>
              </w:rPr>
              <w:t>+13%</w:t>
            </w:r>
          </w:p>
        </w:tc>
        <w:tc>
          <w:tcPr>
            <w:tcW w:type="dxa" w:w="1987"/>
          </w:tcPr>
          <w:p>
            <w:pPr>
              <w:spacing w:after="20" w:before="20"/>
              <w:jc w:val="left"/>
            </w:pPr>
            <w:r/>
            <w:r>
              <w:rPr>
                <w:rFonts w:ascii="Times New Roman" w:hAnsi="Times New Roman"/>
                <w:b w:val="0"/>
                <w:i w:val="0"/>
                <w:sz w:val="18"/>
              </w:rPr>
              <w:t>Pipeline +3.5x QoQ; price increases</w:t>
            </w:r>
          </w:p>
        </w:tc>
      </w:tr>
      <w:tr>
        <w:tc>
          <w:tcPr>
            <w:tcW w:type="dxa" w:w="1987"/>
          </w:tcPr>
          <w:p>
            <w:pPr>
              <w:spacing w:after="20" w:before="20"/>
              <w:jc w:val="left"/>
            </w:pPr>
            <w:r/>
            <w:r>
              <w:rPr>
                <w:rFonts w:ascii="Times New Roman" w:hAnsi="Times New Roman"/>
                <w:b/>
                <w:i w:val="0"/>
                <w:sz w:val="18"/>
              </w:rPr>
              <w:t>FY26E grp adj. EBITDA mgn</w:t>
            </w:r>
          </w:p>
        </w:tc>
        <w:tc>
          <w:tcPr>
            <w:tcW w:type="dxa" w:w="1987"/>
          </w:tcPr>
          <w:p>
            <w:pPr>
              <w:spacing w:after="20" w:before="20"/>
              <w:jc w:val="center"/>
            </w:pPr>
            <w:r/>
            <w:r>
              <w:rPr>
                <w:rFonts w:ascii="Times New Roman" w:hAnsi="Times New Roman"/>
                <w:b w:val="0"/>
                <w:i w:val="0"/>
                <w:sz w:val="18"/>
              </w:rPr>
              <w:t>~35%</w:t>
            </w:r>
          </w:p>
        </w:tc>
        <w:tc>
          <w:tcPr>
            <w:tcW w:type="dxa" w:w="1987"/>
          </w:tcPr>
          <w:p>
            <w:pPr>
              <w:spacing w:after="20" w:before="20"/>
              <w:jc w:val="center"/>
            </w:pPr>
            <w:r/>
            <w:r>
              <w:rPr>
                <w:rFonts w:ascii="Times New Roman" w:hAnsi="Times New Roman"/>
                <w:b w:val="0"/>
                <w:i w:val="0"/>
                <w:sz w:val="18"/>
              </w:rPr>
              <w:t>~40%</w:t>
            </w:r>
          </w:p>
        </w:tc>
        <w:tc>
          <w:tcPr>
            <w:tcW w:type="dxa" w:w="1987"/>
          </w:tcPr>
          <w:p>
            <w:pPr>
              <w:spacing w:after="20" w:before="20"/>
              <w:jc w:val="center"/>
            </w:pPr>
            <w:r/>
            <w:r>
              <w:rPr>
                <w:rFonts w:ascii="Times New Roman" w:hAnsi="Times New Roman"/>
                <w:b w:val="0"/>
                <w:i w:val="0"/>
                <w:sz w:val="18"/>
              </w:rPr>
              <w:t>+5 pts</w:t>
            </w:r>
          </w:p>
        </w:tc>
        <w:tc>
          <w:tcPr>
            <w:tcW w:type="dxa" w:w="1987"/>
          </w:tcPr>
          <w:p>
            <w:pPr>
              <w:spacing w:after="20" w:before="20"/>
              <w:jc w:val="left"/>
            </w:pPr>
            <w:r/>
            <w:r>
              <w:rPr>
                <w:rFonts w:ascii="Times New Roman" w:hAnsi="Times New Roman"/>
                <w:b w:val="0"/>
                <w:i w:val="0"/>
                <w:sz w:val="18"/>
              </w:rPr>
              <w:t>Core margin inflection to 45%</w:t>
            </w:r>
          </w:p>
        </w:tc>
      </w:tr>
      <w:tr>
        <w:tc>
          <w:tcPr>
            <w:tcW w:type="dxa" w:w="1987"/>
          </w:tcPr>
          <w:p>
            <w:pPr>
              <w:spacing w:after="20" w:before="20"/>
              <w:jc w:val="left"/>
            </w:pPr>
            <w:r/>
            <w:r>
              <w:rPr>
                <w:rFonts w:ascii="Times New Roman" w:hAnsi="Times New Roman"/>
                <w:b/>
                <w:i w:val="0"/>
                <w:sz w:val="18"/>
              </w:rPr>
              <w:t>FY27E revenue</w:t>
            </w:r>
          </w:p>
        </w:tc>
        <w:tc>
          <w:tcPr>
            <w:tcW w:type="dxa" w:w="1987"/>
          </w:tcPr>
          <w:p>
            <w:pPr>
              <w:spacing w:after="20" w:before="20"/>
              <w:jc w:val="center"/>
            </w:pPr>
            <w:r/>
            <w:r>
              <w:rPr>
                <w:rFonts w:ascii="Times New Roman" w:hAnsi="Times New Roman"/>
                <w:b w:val="0"/>
                <w:i w:val="0"/>
                <w:sz w:val="18"/>
              </w:rPr>
              <w:t>$8.5B</w:t>
            </w:r>
          </w:p>
        </w:tc>
        <w:tc>
          <w:tcPr>
            <w:tcW w:type="dxa" w:w="1987"/>
          </w:tcPr>
          <w:p>
            <w:pPr>
              <w:spacing w:after="20" w:before="20"/>
              <w:jc w:val="center"/>
            </w:pPr>
            <w:r/>
            <w:r>
              <w:rPr>
                <w:rFonts w:ascii="Times New Roman" w:hAnsi="Times New Roman"/>
                <w:b w:val="0"/>
                <w:i w:val="0"/>
                <w:sz w:val="18"/>
              </w:rPr>
              <w:t>$10.5B</w:t>
            </w:r>
          </w:p>
        </w:tc>
        <w:tc>
          <w:tcPr>
            <w:tcW w:type="dxa" w:w="1987"/>
          </w:tcPr>
          <w:p>
            <w:pPr>
              <w:spacing w:after="20" w:before="20"/>
              <w:jc w:val="center"/>
            </w:pPr>
            <w:r/>
            <w:r>
              <w:rPr>
                <w:rFonts w:ascii="Times New Roman" w:hAnsi="Times New Roman"/>
                <w:b w:val="0"/>
                <w:i w:val="0"/>
                <w:sz w:val="18"/>
              </w:rPr>
              <w:t>+24%</w:t>
            </w:r>
          </w:p>
        </w:tc>
        <w:tc>
          <w:tcPr>
            <w:tcW w:type="dxa" w:w="1987"/>
          </w:tcPr>
          <w:p>
            <w:pPr>
              <w:spacing w:after="20" w:before="20"/>
              <w:jc w:val="left"/>
            </w:pPr>
            <w:r/>
            <w:r>
              <w:rPr>
                <w:rFonts w:ascii="Times New Roman" w:hAnsi="Times New Roman"/>
                <w:b w:val="0"/>
                <w:i w:val="0"/>
                <w:sz w:val="18"/>
              </w:rPr>
              <w:t>Pulled-forward 2027 capacity (PA/AL/MO)</w:t>
            </w:r>
          </w:p>
        </w:tc>
      </w:tr>
      <w:tr>
        <w:tc>
          <w:tcPr>
            <w:tcW w:type="dxa" w:w="1987"/>
          </w:tcPr>
          <w:p>
            <w:pPr>
              <w:spacing w:after="20" w:before="20"/>
              <w:jc w:val="left"/>
            </w:pPr>
            <w:r/>
            <w:r>
              <w:rPr>
                <w:rFonts w:ascii="Times New Roman" w:hAnsi="Times New Roman"/>
                <w:b/>
                <w:i w:val="0"/>
                <w:sz w:val="18"/>
              </w:rPr>
              <w:t>FY26E capex</w:t>
            </w:r>
          </w:p>
        </w:tc>
        <w:tc>
          <w:tcPr>
            <w:tcW w:type="dxa" w:w="1987"/>
          </w:tcPr>
          <w:p>
            <w:pPr>
              <w:spacing w:after="20" w:before="20"/>
              <w:jc w:val="center"/>
            </w:pPr>
            <w:r/>
            <w:r>
              <w:rPr>
                <w:rFonts w:ascii="Times New Roman" w:hAnsi="Times New Roman"/>
                <w:b w:val="0"/>
                <w:i w:val="0"/>
                <w:sz w:val="18"/>
              </w:rPr>
              <w:t>$18B</w:t>
            </w:r>
          </w:p>
        </w:tc>
        <w:tc>
          <w:tcPr>
            <w:tcW w:type="dxa" w:w="1987"/>
          </w:tcPr>
          <w:p>
            <w:pPr>
              <w:spacing w:after="20" w:before="20"/>
              <w:jc w:val="center"/>
            </w:pPr>
            <w:r/>
            <w:r>
              <w:rPr>
                <w:rFonts w:ascii="Times New Roman" w:hAnsi="Times New Roman"/>
                <w:b w:val="0"/>
                <w:i w:val="0"/>
                <w:sz w:val="18"/>
              </w:rPr>
              <w:t>$22.5B</w:t>
            </w:r>
          </w:p>
        </w:tc>
        <w:tc>
          <w:tcPr>
            <w:tcW w:type="dxa" w:w="1987"/>
          </w:tcPr>
          <w:p>
            <w:pPr>
              <w:spacing w:after="20" w:before="20"/>
              <w:jc w:val="center"/>
            </w:pPr>
            <w:r/>
            <w:r>
              <w:rPr>
                <w:rFonts w:ascii="Times New Roman" w:hAnsi="Times New Roman"/>
                <w:b w:val="0"/>
                <w:i w:val="0"/>
                <w:sz w:val="18"/>
              </w:rPr>
              <w:t>+25%</w:t>
            </w:r>
          </w:p>
        </w:tc>
        <w:tc>
          <w:tcPr>
            <w:tcW w:type="dxa" w:w="1987"/>
          </w:tcPr>
          <w:p>
            <w:pPr>
              <w:spacing w:after="20" w:before="20"/>
              <w:jc w:val="left"/>
            </w:pPr>
            <w:r/>
            <w:r>
              <w:rPr>
                <w:rFonts w:ascii="Times New Roman" w:hAnsi="Times New Roman"/>
                <w:b w:val="0"/>
                <w:i w:val="0"/>
                <w:sz w:val="18"/>
              </w:rPr>
              <w:t>Growth capex vs. contracted demand</w:t>
            </w:r>
          </w:p>
        </w:tc>
      </w:tr>
    </w:tbl>
    <w:p>
      <w:pPr>
        <w:spacing w:after="200"/>
      </w:pPr>
      <w:r>
        <w:rPr>
          <w:rFonts w:ascii="Times New Roman" w:hAnsi="Times New Roman"/>
          <w:b w:val="0"/>
          <w:i/>
          <w:color w:val="666666"/>
          <w:sz w:val="16"/>
        </w:rPr>
        <w:t xml:space="preserve">Source: </w:t>
      </w:r>
      <w:r>
        <w:rPr>
          <w:rFonts w:ascii="Times New Roman" w:hAnsi="Times New Roman"/>
          <w:b w:val="0"/>
          <w:i/>
          <w:color w:val="666666"/>
          <w:sz w:val="16"/>
        </w:rPr>
        <w:t>Firm estimates (illustrative), anchored to reiterated company guidance from the Q1 2026 release.</w:t>
      </w:r>
    </w:p>
    <w:p>
      <w:r>
        <w:br w:type="page"/>
      </w:r>
    </w:p>
    <w:p>
      <w:pPr>
        <w:spacing w:after="80" w:before="200"/>
      </w:pPr>
      <w:r>
        <w:rPr>
          <w:rFonts w:ascii="Times New Roman" w:hAnsi="Times New Roman"/>
          <w:b/>
          <w:i w:val="0"/>
          <w:color w:val="0B2545"/>
          <w:sz w:val="28"/>
        </w:rPr>
        <w:t>4.  Updated Investment Thesis</w:t>
      </w:r>
    </w:p>
    <w:p>
      <w:pPr>
        <w:spacing w:after="60" w:before="0"/>
      </w:pPr>
      <w:r>
        <w:rPr>
          <w:rFonts w:ascii="Times New Roman" w:hAnsi="Times New Roman"/>
          <w:b/>
          <w:i w:val="0"/>
          <w:color w:val="1F6FEB"/>
          <w:sz w:val="23"/>
        </w:rPr>
        <w:t>Thesis Intact and Strengthened</w:t>
      </w:r>
    </w:p>
    <w:p>
      <w:pPr>
        <w:spacing w:after="120" w:before="0"/>
      </w:pPr>
      <w:r>
        <w:rPr>
          <w:rFonts w:ascii="Times New Roman" w:hAnsi="Times New Roman"/>
          <w:b w:val="0"/>
          <w:i w:val="0"/>
          <w:sz w:val="21"/>
        </w:rPr>
        <w:t>Our thesis — that Nebius is among the few independent “neocloud” platforms able to convert scarce GPU supply, owned power, and full-stack software into durable, high-margin AI infrastructure revenue — was materially strengthened this quarter. Three pillars improved:</w:t>
      </w:r>
    </w:p>
    <w:p>
      <w:pPr>
        <w:pStyle w:val="ListBullet"/>
        <w:spacing w:after="80"/>
      </w:pPr>
      <w:r>
        <w:rPr>
          <w:rFonts w:ascii="Times New Roman" w:hAnsi="Times New Roman"/>
          <w:b/>
          <w:i w:val="0"/>
          <w:sz w:val="21"/>
        </w:rPr>
        <w:t xml:space="preserve">(1) Demand visibility: </w:t>
      </w:r>
      <w:r>
        <w:rPr>
          <w:rFonts w:ascii="Times New Roman" w:hAnsi="Times New Roman"/>
          <w:b w:val="0"/>
          <w:i w:val="0"/>
          <w:sz w:val="21"/>
        </w:rPr>
        <w:t>ARR +54% QoQ to $1.92B and a 3.5x QoQ pipeline expansion confirm demand outpaces supply; the $27B Meta anchor underwrites multi-year capacity.</w:t>
      </w:r>
    </w:p>
    <w:p>
      <w:pPr>
        <w:pStyle w:val="ListBullet"/>
        <w:spacing w:after="80"/>
      </w:pPr>
      <w:r>
        <w:rPr>
          <w:rFonts w:ascii="Times New Roman" w:hAnsi="Times New Roman"/>
          <w:b/>
          <w:i w:val="0"/>
          <w:sz w:val="21"/>
        </w:rPr>
        <w:t xml:space="preserve">(2) Unit economics: </w:t>
      </w:r>
      <w:r>
        <w:rPr>
          <w:rFonts w:ascii="Times New Roman" w:hAnsi="Times New Roman"/>
          <w:b w:val="0"/>
          <w:i w:val="0"/>
          <w:sz w:val="21"/>
        </w:rPr>
        <w:t>45% core AI cloud margin and ~$0.94M ARR/MW demonstrate the model scales profitably as capacity fills.</w:t>
      </w:r>
    </w:p>
    <w:p>
      <w:pPr>
        <w:pStyle w:val="ListBullet"/>
        <w:spacing w:after="80"/>
      </w:pPr>
      <w:r>
        <w:rPr>
          <w:rFonts w:ascii="Times New Roman" w:hAnsi="Times New Roman"/>
          <w:b/>
          <w:i w:val="0"/>
          <w:sz w:val="21"/>
        </w:rPr>
        <w:t xml:space="preserve">(3) Funding risk reduced: </w:t>
      </w:r>
      <w:r>
        <w:rPr>
          <w:rFonts w:ascii="Times New Roman" w:hAnsi="Times New Roman"/>
          <w:b w:val="0"/>
          <w:i w:val="0"/>
          <w:sz w:val="21"/>
        </w:rPr>
        <w:t>$9.3B cash and NVIDIA's equity stake remove the financing overhang that pressures lease-heavy competitors.</w:t>
      </w:r>
    </w:p>
    <w:p>
      <w:pPr>
        <w:jc w:val="center"/>
      </w:pPr>
      <w:r>
        <w:drawing>
          <wp:inline xmlns:a="http://schemas.openxmlformats.org/drawingml/2006/main" xmlns:pic="http://schemas.openxmlformats.org/drawingml/2006/picture">
            <wp:extent cx="4846320" cy="2739224"/>
            <wp:docPr id="9" name="Picture 9"/>
            <wp:cNvGraphicFramePr>
              <a:graphicFrameLocks noChangeAspect="1"/>
            </wp:cNvGraphicFramePr>
            <a:graphic>
              <a:graphicData uri="http://schemas.openxmlformats.org/drawingml/2006/picture">
                <pic:pic>
                  <pic:nvPicPr>
                    <pic:cNvPr id="0" name="nbis_chart9_coremargin.png"/>
                    <pic:cNvPicPr/>
                  </pic:nvPicPr>
                  <pic:blipFill>
                    <a:blip r:embed="rId21"/>
                    <a:stretch>
                      <a:fillRect/>
                    </a:stretch>
                  </pic:blipFill>
                  <pic:spPr>
                    <a:xfrm>
                      <a:off x="0" y="0"/>
                      <a:ext cx="4846320" cy="2739224"/>
                    </a:xfrm>
                    <a:prstGeom prst="rect"/>
                  </pic:spPr>
                </pic:pic>
              </a:graphicData>
            </a:graphic>
          </wp:inline>
        </w:drawing>
      </w:r>
    </w:p>
    <w:p>
      <w:pPr>
        <w:spacing w:after="200"/>
      </w:pPr>
      <w:r>
        <w:rPr>
          <w:rFonts w:ascii="Times New Roman" w:hAnsi="Times New Roman"/>
          <w:b w:val="0"/>
          <w:i/>
          <w:color w:val="666666"/>
          <w:sz w:val="16"/>
        </w:rPr>
        <w:t xml:space="preserve">Source: </w:t>
      </w:r>
      <w:r>
        <w:rPr>
          <w:rFonts w:ascii="Times New Roman" w:hAnsi="Times New Roman"/>
          <w:b w:val="0"/>
          <w:i/>
          <w:color w:val="666666"/>
          <w:sz w:val="16"/>
        </w:rPr>
        <w:t xml:space="preserve">Q1 2026 results release; core AI cloud segment margins. </w:t>
      </w:r>
      <w:hyperlink r:id="rId9">
        <w:r>
          <w:rPr>
            <w:rFonts w:ascii="Times New Roman" w:hAnsi="Times New Roman"/>
            <w:color w:val="1F6FEB"/>
            <w:u w:val="single"/>
            <w:sz w:val="20"/>
          </w:rPr>
          <w:t>Nebius IR</w:t>
        </w:r>
      </w:hyperlink>
      <w:r>
        <w:rPr>
          <w:rFonts w:ascii="Times New Roman" w:hAnsi="Times New Roman"/>
          <w:b w:val="0"/>
          <w:i/>
          <w:color w:val="666666"/>
          <w:sz w:val="16"/>
        </w:rPr>
        <w:t>.</w:t>
      </w:r>
    </w:p>
    <w:p>
      <w:pPr>
        <w:spacing w:after="60" w:before="0"/>
      </w:pPr>
      <w:r>
        <w:rPr>
          <w:rFonts w:ascii="Times New Roman" w:hAnsi="Times New Roman"/>
          <w:b/>
          <w:i w:val="0"/>
          <w:color w:val="D1495B"/>
          <w:sz w:val="23"/>
        </w:rPr>
        <w:t>Risks to Monitor</w:t>
      </w:r>
    </w:p>
    <w:p>
      <w:pPr>
        <w:pStyle w:val="ListBullet"/>
        <w:spacing w:after="80"/>
      </w:pPr>
      <w:r>
        <w:rPr>
          <w:rFonts w:ascii="Times New Roman" w:hAnsi="Times New Roman"/>
          <w:b/>
          <w:i w:val="0"/>
          <w:sz w:val="21"/>
        </w:rPr>
        <w:t xml:space="preserve">Customer concentration: </w:t>
      </w:r>
      <w:r>
        <w:rPr>
          <w:rFonts w:ascii="Times New Roman" w:hAnsi="Times New Roman"/>
          <w:b w:val="0"/>
          <w:i w:val="0"/>
          <w:sz w:val="21"/>
        </w:rPr>
        <w:t>Mega-deals (Meta, Microsoft) dominate backlog; renewal/ramp timing matters.</w:t>
      </w:r>
    </w:p>
    <w:p>
      <w:pPr>
        <w:pStyle w:val="ListBullet"/>
        <w:spacing w:after="80"/>
      </w:pPr>
      <w:r>
        <w:rPr>
          <w:rFonts w:ascii="Times New Roman" w:hAnsi="Times New Roman"/>
          <w:b/>
          <w:i w:val="0"/>
          <w:sz w:val="21"/>
        </w:rPr>
        <w:t xml:space="preserve">Capex intensity &amp; execution: </w:t>
      </w:r>
      <w:r>
        <w:rPr>
          <w:rFonts w:ascii="Times New Roman" w:hAnsi="Times New Roman"/>
          <w:b w:val="0"/>
          <w:i w:val="0"/>
          <w:sz w:val="21"/>
        </w:rPr>
        <w:t>$20–25B 2026 capex requires flawless construction, power and GPU delivery; cost inflation (low-single-digit %) is so far contained by early procurement.</w:t>
      </w:r>
    </w:p>
    <w:p>
      <w:pPr>
        <w:pStyle w:val="ListBullet"/>
        <w:spacing w:after="80"/>
      </w:pPr>
      <w:r>
        <w:rPr>
          <w:rFonts w:ascii="Times New Roman" w:hAnsi="Times New Roman"/>
          <w:b/>
          <w:i w:val="0"/>
          <w:sz w:val="21"/>
        </w:rPr>
        <w:t xml:space="preserve">Compute pricing / supply normalization: </w:t>
      </w:r>
      <w:r>
        <w:rPr>
          <w:rFonts w:ascii="Times New Roman" w:hAnsi="Times New Roman"/>
          <w:b w:val="0"/>
          <w:i w:val="0"/>
          <w:sz w:val="21"/>
        </w:rPr>
        <w:t>Pricing power assumes continued GPU scarcity; a supply glut would compress margins.</w:t>
      </w:r>
    </w:p>
    <w:p>
      <w:pPr>
        <w:pStyle w:val="ListBullet"/>
        <w:spacing w:after="80"/>
      </w:pPr>
      <w:r>
        <w:rPr>
          <w:rFonts w:ascii="Times New Roman" w:hAnsi="Times New Roman"/>
          <w:b/>
          <w:i w:val="0"/>
          <w:sz w:val="21"/>
        </w:rPr>
        <w:t xml:space="preserve">Non-core drag: </w:t>
      </w:r>
      <w:r>
        <w:rPr>
          <w:rFonts w:ascii="Times New Roman" w:hAnsi="Times New Roman"/>
          <w:b w:val="0"/>
          <w:i w:val="0"/>
          <w:sz w:val="21"/>
        </w:rPr>
        <w:t>Avride, TripleTen and Toloka remain loss-making; management seeks partners/spin-offs.</w:t>
      </w:r>
    </w:p>
    <w:p>
      <w:pPr>
        <w:jc w:val="center"/>
      </w:pPr>
      <w:r>
        <w:drawing>
          <wp:inline xmlns:a="http://schemas.openxmlformats.org/drawingml/2006/main" xmlns:pic="http://schemas.openxmlformats.org/drawingml/2006/picture">
            <wp:extent cx="3840480" cy="4040962"/>
            <wp:docPr id="10" name="Picture 10"/>
            <wp:cNvGraphicFramePr>
              <a:graphicFrameLocks noChangeAspect="1"/>
            </wp:cNvGraphicFramePr>
            <a:graphic>
              <a:graphicData uri="http://schemas.openxmlformats.org/drawingml/2006/picture">
                <pic:pic>
                  <pic:nvPicPr>
                    <pic:cNvPr id="0" name="nbis_chart10_mix.png"/>
                    <pic:cNvPicPr/>
                  </pic:nvPicPr>
                  <pic:blipFill>
                    <a:blip r:embed="rId22"/>
                    <a:stretch>
                      <a:fillRect/>
                    </a:stretch>
                  </pic:blipFill>
                  <pic:spPr>
                    <a:xfrm>
                      <a:off x="0" y="0"/>
                      <a:ext cx="3840480" cy="4040962"/>
                    </a:xfrm>
                    <a:prstGeom prst="rect"/>
                  </pic:spPr>
                </pic:pic>
              </a:graphicData>
            </a:graphic>
          </wp:inline>
        </w:drawing>
      </w:r>
    </w:p>
    <w:p>
      <w:pPr>
        <w:spacing w:after="200"/>
      </w:pPr>
      <w:r>
        <w:rPr>
          <w:rFonts w:ascii="Times New Roman" w:hAnsi="Times New Roman"/>
          <w:b w:val="0"/>
          <w:i/>
          <w:color w:val="666666"/>
          <w:sz w:val="16"/>
        </w:rPr>
        <w:t xml:space="preserve">Source: </w:t>
      </w:r>
      <w:r>
        <w:rPr>
          <w:rFonts w:ascii="Times New Roman" w:hAnsi="Times New Roman"/>
          <w:b w:val="0"/>
          <w:i/>
          <w:color w:val="666666"/>
          <w:sz w:val="16"/>
        </w:rPr>
        <w:t xml:space="preserve">Q1 2026 revenue by business; Nebius AI Cloud = 98% of group. </w:t>
      </w:r>
      <w:hyperlink r:id="rId9">
        <w:r>
          <w:rPr>
            <w:rFonts w:ascii="Times New Roman" w:hAnsi="Times New Roman"/>
            <w:color w:val="1F6FEB"/>
            <w:u w:val="single"/>
            <w:sz w:val="20"/>
          </w:rPr>
          <w:t>Q1 2026 release</w:t>
        </w:r>
      </w:hyperlink>
      <w:r>
        <w:rPr>
          <w:rFonts w:ascii="Times New Roman" w:hAnsi="Times New Roman"/>
          <w:b w:val="0"/>
          <w:i/>
          <w:color w:val="666666"/>
          <w:sz w:val="16"/>
        </w:rPr>
        <w:t>.</w:t>
      </w:r>
    </w:p>
    <w:p>
      <w:r>
        <w:br w:type="page"/>
      </w:r>
    </w:p>
    <w:p>
      <w:pPr>
        <w:spacing w:after="80" w:before="200"/>
      </w:pPr>
      <w:r>
        <w:rPr>
          <w:rFonts w:ascii="Times New Roman" w:hAnsi="Times New Roman"/>
          <w:b/>
          <w:i w:val="0"/>
          <w:color w:val="0B2545"/>
          <w:sz w:val="28"/>
        </w:rPr>
        <w:t>5.  Valuation &amp; Recommendation</w:t>
      </w:r>
    </w:p>
    <w:p>
      <w:pPr>
        <w:spacing w:after="120" w:before="0"/>
      </w:pPr>
      <w:r>
        <w:rPr>
          <w:rFonts w:ascii="Times New Roman" w:hAnsi="Times New Roman"/>
          <w:b/>
          <w:i w:val="0"/>
          <w:color w:val="2BA84A"/>
          <w:sz w:val="24"/>
        </w:rPr>
        <w:t>Rating: BUY (maintained)  |  Price Target: $330 (raised from $300)</w:t>
      </w:r>
    </w:p>
    <w:p>
      <w:pPr>
        <w:spacing w:after="160" w:before="0"/>
      </w:pPr>
      <w:r>
        <w:rPr>
          <w:rFonts w:ascii="Times New Roman" w:hAnsi="Times New Roman"/>
          <w:b w:val="0"/>
          <w:i w:val="0"/>
          <w:sz w:val="21"/>
        </w:rPr>
        <w:t>We value Nebius on EV/ARR and a forward EV/revenue framework given the hyper-growth, pre-steady-state profile. On our raised ~$8.5B FY26 exit-ARR, the stock trades at roughly 8–9x EV/exit-ARR — a premium to legacy IaaS but reasonable versus the growth rate (ARR +54% QoQ) and improving margins. Applying ~10x EV/exit-ARR on de-risked 2026 ARR, net of the $9.3B cash and convertible debt, supports a $330 target (~17% upside from $280.91). Bull case (&gt;$9B exit-ARR, 45%+ blended margins, Meta optional capacity fully resold) supports $400+; bear case (supply normalization, capex overrun, customer ramp slippage) implies ~$190.</w:t>
      </w:r>
    </w:p>
    <w:tbl>
      <w:tblPr>
        <w:tblW w:type="auto" w:w="0"/>
        <w:jc w:val="center"/>
        <w:tblLook w:firstColumn="1" w:firstRow="1" w:lastColumn="0" w:lastRow="0" w:noHBand="0" w:noVBand="1" w:val="04A0"/>
      </w:tblPr>
      <w:tblGrid>
        <w:gridCol w:w="2484"/>
        <w:gridCol w:w="2484"/>
        <w:gridCol w:w="2484"/>
        <w:gridCol w:w="2484"/>
      </w:tblGrid>
      <w:tr>
        <w:tc>
          <w:tcPr>
            <w:tcW w:type="dxa" w:w="2484"/>
            <w:shd w:val="clear" w:color="auto" w:fill="0B2545"/>
          </w:tcPr>
          <w:p>
            <w:pPr>
              <w:spacing w:after="20" w:before="20"/>
              <w:jc w:val="center"/>
            </w:pPr>
            <w:r/>
            <w:r>
              <w:rPr>
                <w:rFonts w:ascii="Times New Roman" w:hAnsi="Times New Roman"/>
                <w:b/>
                <w:i w:val="0"/>
                <w:color w:val="FFFFFF"/>
                <w:sz w:val="19"/>
              </w:rPr>
              <w:t>Scenario</w:t>
            </w:r>
          </w:p>
        </w:tc>
        <w:tc>
          <w:tcPr>
            <w:tcW w:type="dxa" w:w="2484"/>
            <w:shd w:val="clear" w:color="auto" w:fill="0B2545"/>
          </w:tcPr>
          <w:p>
            <w:pPr>
              <w:spacing w:after="20" w:before="20"/>
              <w:jc w:val="center"/>
            </w:pPr>
            <w:r/>
            <w:r>
              <w:rPr>
                <w:rFonts w:ascii="Times New Roman" w:hAnsi="Times New Roman"/>
                <w:b/>
                <w:i w:val="0"/>
                <w:color w:val="FFFFFF"/>
                <w:sz w:val="19"/>
              </w:rPr>
              <w:t>FY26 exit-ARR</w:t>
            </w:r>
          </w:p>
        </w:tc>
        <w:tc>
          <w:tcPr>
            <w:tcW w:type="dxa" w:w="2484"/>
            <w:shd w:val="clear" w:color="auto" w:fill="0B2545"/>
          </w:tcPr>
          <w:p>
            <w:pPr>
              <w:spacing w:after="20" w:before="20"/>
              <w:jc w:val="center"/>
            </w:pPr>
            <w:r/>
            <w:r>
              <w:rPr>
                <w:rFonts w:ascii="Times New Roman" w:hAnsi="Times New Roman"/>
                <w:b/>
                <w:i w:val="0"/>
                <w:color w:val="FFFFFF"/>
                <w:sz w:val="19"/>
              </w:rPr>
              <w:t>EV/ARR</w:t>
            </w:r>
          </w:p>
        </w:tc>
        <w:tc>
          <w:tcPr>
            <w:tcW w:type="dxa" w:w="2484"/>
            <w:shd w:val="clear" w:color="auto" w:fill="0B2545"/>
          </w:tcPr>
          <w:p>
            <w:pPr>
              <w:spacing w:after="20" w:before="20"/>
              <w:jc w:val="center"/>
            </w:pPr>
            <w:r/>
            <w:r>
              <w:rPr>
                <w:rFonts w:ascii="Times New Roman" w:hAnsi="Times New Roman"/>
                <w:b/>
                <w:i w:val="0"/>
                <w:color w:val="FFFFFF"/>
                <w:sz w:val="19"/>
              </w:rPr>
              <w:t>Implied value</w:t>
            </w:r>
          </w:p>
        </w:tc>
      </w:tr>
      <w:tr>
        <w:tc>
          <w:tcPr>
            <w:tcW w:type="dxa" w:w="2484"/>
          </w:tcPr>
          <w:p>
            <w:pPr>
              <w:spacing w:after="20" w:before="20"/>
              <w:jc w:val="left"/>
            </w:pPr>
            <w:r/>
            <w:r>
              <w:rPr>
                <w:rFonts w:ascii="Times New Roman" w:hAnsi="Times New Roman"/>
                <w:b/>
                <w:i w:val="0"/>
                <w:sz w:val="19"/>
              </w:rPr>
              <w:t>Bull</w:t>
            </w:r>
          </w:p>
        </w:tc>
        <w:tc>
          <w:tcPr>
            <w:tcW w:type="dxa" w:w="2484"/>
          </w:tcPr>
          <w:p>
            <w:pPr>
              <w:spacing w:after="20" w:before="20"/>
              <w:jc w:val="center"/>
            </w:pPr>
            <w:r/>
            <w:r>
              <w:rPr>
                <w:rFonts w:ascii="Times New Roman" w:hAnsi="Times New Roman"/>
                <w:b w:val="0"/>
                <w:i w:val="0"/>
                <w:sz w:val="19"/>
              </w:rPr>
              <w:t>$9.5B</w:t>
            </w:r>
          </w:p>
        </w:tc>
        <w:tc>
          <w:tcPr>
            <w:tcW w:type="dxa" w:w="2484"/>
          </w:tcPr>
          <w:p>
            <w:pPr>
              <w:spacing w:after="20" w:before="20"/>
              <w:jc w:val="center"/>
            </w:pPr>
            <w:r/>
            <w:r>
              <w:rPr>
                <w:rFonts w:ascii="Times New Roman" w:hAnsi="Times New Roman"/>
                <w:b w:val="0"/>
                <w:i w:val="0"/>
                <w:sz w:val="19"/>
              </w:rPr>
              <w:t>~12x</w:t>
            </w:r>
          </w:p>
        </w:tc>
        <w:tc>
          <w:tcPr>
            <w:tcW w:type="dxa" w:w="2484"/>
          </w:tcPr>
          <w:p>
            <w:pPr>
              <w:spacing w:after="20" w:before="20"/>
              <w:jc w:val="center"/>
            </w:pPr>
            <w:r/>
            <w:r>
              <w:rPr>
                <w:rFonts w:ascii="Times New Roman" w:hAnsi="Times New Roman"/>
                <w:b w:val="0"/>
                <w:i w:val="0"/>
                <w:sz w:val="19"/>
              </w:rPr>
              <w:t>$400+</w:t>
            </w:r>
          </w:p>
        </w:tc>
      </w:tr>
      <w:tr>
        <w:tc>
          <w:tcPr>
            <w:tcW w:type="dxa" w:w="2484"/>
            <w:shd w:val="clear" w:color="auto" w:fill="E8F5E9"/>
          </w:tcPr>
          <w:p>
            <w:pPr>
              <w:spacing w:after="20" w:before="20"/>
              <w:jc w:val="left"/>
            </w:pPr>
            <w:r/>
            <w:r>
              <w:rPr>
                <w:rFonts w:ascii="Times New Roman" w:hAnsi="Times New Roman"/>
                <w:b/>
                <w:i w:val="0"/>
                <w:sz w:val="19"/>
              </w:rPr>
              <w:t>Base (PT)</w:t>
            </w:r>
          </w:p>
        </w:tc>
        <w:tc>
          <w:tcPr>
            <w:tcW w:type="dxa" w:w="2484"/>
            <w:shd w:val="clear" w:color="auto" w:fill="E8F5E9"/>
          </w:tcPr>
          <w:p>
            <w:pPr>
              <w:spacing w:after="20" w:before="20"/>
              <w:jc w:val="center"/>
            </w:pPr>
            <w:r/>
            <w:r>
              <w:rPr>
                <w:rFonts w:ascii="Times New Roman" w:hAnsi="Times New Roman"/>
                <w:b w:val="0"/>
                <w:i w:val="0"/>
                <w:sz w:val="19"/>
              </w:rPr>
              <w:t>$8.5B</w:t>
            </w:r>
          </w:p>
        </w:tc>
        <w:tc>
          <w:tcPr>
            <w:tcW w:type="dxa" w:w="2484"/>
            <w:shd w:val="clear" w:color="auto" w:fill="E8F5E9"/>
          </w:tcPr>
          <w:p>
            <w:pPr>
              <w:spacing w:after="20" w:before="20"/>
              <w:jc w:val="center"/>
            </w:pPr>
            <w:r/>
            <w:r>
              <w:rPr>
                <w:rFonts w:ascii="Times New Roman" w:hAnsi="Times New Roman"/>
                <w:b w:val="0"/>
                <w:i w:val="0"/>
                <w:sz w:val="19"/>
              </w:rPr>
              <w:t>~10x</w:t>
            </w:r>
          </w:p>
        </w:tc>
        <w:tc>
          <w:tcPr>
            <w:tcW w:type="dxa" w:w="2484"/>
            <w:shd w:val="clear" w:color="auto" w:fill="E8F5E9"/>
          </w:tcPr>
          <w:p>
            <w:pPr>
              <w:spacing w:after="20" w:before="20"/>
              <w:jc w:val="center"/>
            </w:pPr>
            <w:r/>
            <w:r>
              <w:rPr>
                <w:rFonts w:ascii="Times New Roman" w:hAnsi="Times New Roman"/>
                <w:b w:val="0"/>
                <w:i w:val="0"/>
                <w:sz w:val="19"/>
              </w:rPr>
              <w:t>$330</w:t>
            </w:r>
          </w:p>
        </w:tc>
      </w:tr>
      <w:tr>
        <w:tc>
          <w:tcPr>
            <w:tcW w:type="dxa" w:w="2484"/>
          </w:tcPr>
          <w:p>
            <w:pPr>
              <w:spacing w:after="20" w:before="20"/>
              <w:jc w:val="left"/>
            </w:pPr>
            <w:r/>
            <w:r>
              <w:rPr>
                <w:rFonts w:ascii="Times New Roman" w:hAnsi="Times New Roman"/>
                <w:b/>
                <w:i w:val="0"/>
                <w:sz w:val="19"/>
              </w:rPr>
              <w:t>Bear</w:t>
            </w:r>
          </w:p>
        </w:tc>
        <w:tc>
          <w:tcPr>
            <w:tcW w:type="dxa" w:w="2484"/>
          </w:tcPr>
          <w:p>
            <w:pPr>
              <w:spacing w:after="20" w:before="20"/>
              <w:jc w:val="center"/>
            </w:pPr>
            <w:r/>
            <w:r>
              <w:rPr>
                <w:rFonts w:ascii="Times New Roman" w:hAnsi="Times New Roman"/>
                <w:b w:val="0"/>
                <w:i w:val="0"/>
                <w:sz w:val="19"/>
              </w:rPr>
              <w:t>$7.0B</w:t>
            </w:r>
          </w:p>
        </w:tc>
        <w:tc>
          <w:tcPr>
            <w:tcW w:type="dxa" w:w="2484"/>
          </w:tcPr>
          <w:p>
            <w:pPr>
              <w:spacing w:after="20" w:before="20"/>
              <w:jc w:val="center"/>
            </w:pPr>
            <w:r/>
            <w:r>
              <w:rPr>
                <w:rFonts w:ascii="Times New Roman" w:hAnsi="Times New Roman"/>
                <w:b w:val="0"/>
                <w:i w:val="0"/>
                <w:sz w:val="19"/>
              </w:rPr>
              <w:t>~6x</w:t>
            </w:r>
          </w:p>
        </w:tc>
        <w:tc>
          <w:tcPr>
            <w:tcW w:type="dxa" w:w="2484"/>
          </w:tcPr>
          <w:p>
            <w:pPr>
              <w:spacing w:after="20" w:before="20"/>
              <w:jc w:val="center"/>
            </w:pPr>
            <w:r/>
            <w:r>
              <w:rPr>
                <w:rFonts w:ascii="Times New Roman" w:hAnsi="Times New Roman"/>
                <w:b w:val="0"/>
                <w:i w:val="0"/>
                <w:sz w:val="19"/>
              </w:rPr>
              <w:t>~$190</w:t>
            </w:r>
          </w:p>
        </w:tc>
      </w:tr>
    </w:tbl>
    <w:p>
      <w:pPr>
        <w:spacing w:after="200"/>
      </w:pPr>
      <w:r>
        <w:rPr>
          <w:rFonts w:ascii="Times New Roman" w:hAnsi="Times New Roman"/>
          <w:b w:val="0"/>
          <w:i/>
          <w:color w:val="666666"/>
          <w:sz w:val="16"/>
        </w:rPr>
        <w:t xml:space="preserve">Source: </w:t>
      </w:r>
      <w:r>
        <w:rPr>
          <w:rFonts w:ascii="Times New Roman" w:hAnsi="Times New Roman"/>
          <w:b w:val="0"/>
          <w:i/>
          <w:color w:val="666666"/>
          <w:sz w:val="16"/>
        </w:rPr>
        <w:t>Firm valuation framework; market data via Yahoo Finance (yfinance), price as of June 17, 2026.</w:t>
      </w:r>
    </w:p>
    <w:p>
      <w:pPr>
        <w:spacing w:after="60" w:before="120"/>
      </w:pPr>
      <w:r>
        <w:rPr>
          <w:rFonts w:ascii="Times New Roman" w:hAnsi="Times New Roman"/>
          <w:b/>
          <w:i w:val="0"/>
          <w:color w:val="1F6FEB"/>
          <w:sz w:val="23"/>
        </w:rPr>
        <w:t>Catalysts (next 6–12 months)</w:t>
      </w:r>
    </w:p>
    <w:p>
      <w:pPr>
        <w:pStyle w:val="ListBullet"/>
        <w:spacing w:after="80"/>
      </w:pPr>
      <w:r>
        <w:rPr>
          <w:rFonts w:ascii="Times New Roman" w:hAnsi="Times New Roman"/>
          <w:b w:val="0"/>
          <w:i w:val="0"/>
          <w:sz w:val="21"/>
        </w:rPr>
        <w:t>Q2 2026 print (mid-Aug 2026): ARR trajectory toward $7–9B exit; margin cadence confirmation.</w:t>
      </w:r>
    </w:p>
    <w:p>
      <w:pPr>
        <w:pStyle w:val="ListBullet"/>
        <w:spacing w:after="80"/>
      </w:pPr>
      <w:r>
        <w:rPr>
          <w:rFonts w:ascii="Times New Roman" w:hAnsi="Times New Roman"/>
          <w:b w:val="0"/>
          <w:i w:val="0"/>
          <w:sz w:val="21"/>
        </w:rPr>
        <w:t>Additional hyperscaler / frontier-lab capacity deals beyond Meta &amp; Microsoft.</w:t>
      </w:r>
    </w:p>
    <w:p>
      <w:pPr>
        <w:pStyle w:val="ListBullet"/>
        <w:spacing w:after="80"/>
      </w:pPr>
      <w:r>
        <w:rPr>
          <w:rFonts w:ascii="Times New Roman" w:hAnsi="Times New Roman"/>
          <w:b w:val="0"/>
          <w:i w:val="0"/>
          <w:sz w:val="21"/>
        </w:rPr>
        <w:t>Pennsylvania / Alabama / Missouri construction milestones and power energization.</w:t>
      </w:r>
    </w:p>
    <w:p>
      <w:pPr>
        <w:pStyle w:val="ListBullet"/>
        <w:spacing w:after="80"/>
      </w:pPr>
      <w:r>
        <w:rPr>
          <w:rFonts w:ascii="Times New Roman" w:hAnsi="Times New Roman"/>
          <w:b w:val="0"/>
          <w:i w:val="0"/>
          <w:sz w:val="21"/>
        </w:rPr>
        <w:t>Potential monetization (partner or spin) of Avride / TripleTen / Toloka.</w:t>
      </w:r>
    </w:p>
    <w:p>
      <w:r>
        <w:br w:type="page"/>
      </w:r>
    </w:p>
    <w:p>
      <w:pPr>
        <w:spacing w:after="80" w:before="200"/>
      </w:pPr>
      <w:r>
        <w:rPr>
          <w:rFonts w:ascii="Times New Roman" w:hAnsi="Times New Roman"/>
          <w:b/>
          <w:i w:val="0"/>
          <w:color w:val="0B2545"/>
          <w:sz w:val="28"/>
        </w:rPr>
        <w:t>Sources &amp; References</w:t>
      </w:r>
    </w:p>
    <w:p>
      <w:pPr>
        <w:spacing w:after="80" w:before="0"/>
      </w:pPr>
      <w:r>
        <w:rPr>
          <w:rFonts w:ascii="Times New Roman" w:hAnsi="Times New Roman"/>
          <w:b/>
          <w:i w:val="0"/>
          <w:sz w:val="22"/>
        </w:rPr>
        <w:t>Earnings Materials (Q1 2026 — reported May 13, 2026):</w:t>
      </w:r>
    </w:p>
    <w:p>
      <w:pPr>
        <w:pStyle w:val="ListBullet"/>
        <w:spacing w:after="80"/>
      </w:pPr>
      <w:hyperlink r:id="rId9">
        <w:r>
          <w:rPr>
            <w:rFonts w:ascii="Times New Roman" w:hAnsi="Times New Roman"/>
            <w:color w:val="1F6FEB"/>
            <w:u w:val="single"/>
            <w:sz w:val="20"/>
          </w:rPr>
          <w:t>Q1 2026 Results Press Release — Nebius Newsroom (May 13, 2026)</w:t>
        </w:r>
      </w:hyperlink>
    </w:p>
    <w:p>
      <w:pPr>
        <w:pStyle w:val="ListBullet"/>
        <w:spacing w:after="80"/>
      </w:pPr>
      <w:hyperlink r:id="rId23">
        <w:r>
          <w:rPr>
            <w:rFonts w:ascii="Times New Roman" w:hAnsi="Times New Roman"/>
            <w:color w:val="1F6FEB"/>
            <w:u w:val="single"/>
            <w:sz w:val="20"/>
          </w:rPr>
          <w:t>Q1 2026 Results — BusinessWire distribution (May 13, 2026)</w:t>
        </w:r>
      </w:hyperlink>
    </w:p>
    <w:p>
      <w:pPr>
        <w:pStyle w:val="ListBullet"/>
        <w:spacing w:after="80"/>
      </w:pPr>
      <w:hyperlink r:id="rId11">
        <w:r>
          <w:rPr>
            <w:rFonts w:ascii="Times New Roman" w:hAnsi="Times New Roman"/>
            <w:color w:val="1F6FEB"/>
            <w:u w:val="single"/>
            <w:sz w:val="20"/>
          </w:rPr>
          <w:t>Form 6-K — Nebius Group N.V., SEC EDGAR (CIK 0001513845)</w:t>
        </w:r>
      </w:hyperlink>
    </w:p>
    <w:p>
      <w:pPr>
        <w:pStyle w:val="ListBullet"/>
        <w:spacing w:after="80"/>
      </w:pPr>
      <w:hyperlink r:id="rId20">
        <w:r>
          <w:rPr>
            <w:rFonts w:ascii="Times New Roman" w:hAnsi="Times New Roman"/>
            <w:color w:val="1F6FEB"/>
            <w:u w:val="single"/>
            <w:sz w:val="20"/>
          </w:rPr>
          <w:t>Q1 2026 Earnings Call Transcript — The Motley Fool (May 13, 2026)</w:t>
        </w:r>
      </w:hyperlink>
    </w:p>
    <w:p>
      <w:pPr>
        <w:pStyle w:val="ListBullet"/>
        <w:spacing w:after="80"/>
      </w:pPr>
      <w:hyperlink r:id="rId15">
        <w:r>
          <w:rPr>
            <w:rFonts w:ascii="Times New Roman" w:hAnsi="Times New Roman"/>
            <w:color w:val="1F6FEB"/>
            <w:u w:val="single"/>
            <w:sz w:val="20"/>
          </w:rPr>
          <w:t>Q1 2026 Earnings Call Transcript — Investing.com (May 13, 2026)</w:t>
        </w:r>
      </w:hyperlink>
    </w:p>
    <w:p>
      <w:pPr>
        <w:pStyle w:val="ListBullet"/>
        <w:spacing w:after="80"/>
      </w:pPr>
      <w:hyperlink r:id="rId24">
        <w:r>
          <w:rPr>
            <w:rFonts w:ascii="Times New Roman" w:hAnsi="Times New Roman"/>
            <w:color w:val="1F6FEB"/>
            <w:u w:val="single"/>
            <w:sz w:val="20"/>
          </w:rPr>
          <w:t>Nebius Investor Hub / Financials</w:t>
        </w:r>
      </w:hyperlink>
    </w:p>
    <w:p>
      <w:pPr>
        <w:pStyle w:val="ListBullet"/>
        <w:spacing w:after="80"/>
      </w:pPr>
      <w:hyperlink r:id="rId25">
        <w:r>
          <w:rPr>
            <w:rFonts w:ascii="Times New Roman" w:hAnsi="Times New Roman"/>
            <w:color w:val="1F6FEB"/>
            <w:u w:val="single"/>
            <w:sz w:val="20"/>
          </w:rPr>
          <w:t>Q1 2026 Coverage — Seeking Alpha</w:t>
        </w:r>
      </w:hyperlink>
    </w:p>
    <w:p>
      <w:pPr>
        <w:spacing w:after="80" w:before="0"/>
      </w:pPr>
    </w:p>
    <w:p>
      <w:pPr>
        <w:spacing w:after="120" w:before="0"/>
      </w:pPr>
      <w:r>
        <w:rPr>
          <w:rFonts w:ascii="Times New Roman" w:hAnsi="Times New Roman"/>
          <w:b w:val="0"/>
          <w:i/>
          <w:color w:val="666666"/>
          <w:sz w:val="16"/>
        </w:rPr>
        <w:t>Disclaimer: This earnings update is prepared for informational purposes only and does not constitute investment advice or an offer to buy or sell any security. Estimates are illustrative. Market data retrieved via Yahoo Finance (yfinance) as of June 17, 2026.</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HeaderChar">
    <w:name w:val="Header Char"/>
    <w:basedOn w:val="DefaultParagraphFont"/>
    <w:link w:val="Header"/>
    <w:uiPriority w:val="99"/>
    <w:rsid w:val="00E618BF"/>
    <w:rPr>
      <w:rFonts w:ascii="Times New Roman" w:hAnsi="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rPr>
  </w:style>
  <w:style w:type="character" w:customStyle="1" w:styleId="FooterChar">
    <w:name w:val="Footer Char"/>
    <w:basedOn w:val="DefaultParagraphFont"/>
    <w:link w:val="Footer"/>
    <w:uiPriority w:val="99"/>
    <w:rsid w:val="00E618B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rPr>
  </w:style>
  <w:style w:type="table" w:default="1" w:styleId="TableNormal">
    <w:name w:val="Normal Table"/>
    <w:uiPriority w:val="99"/>
    <w:semiHidden/>
    <w:unhideWhenUsed/>
    <w:rPr>
      <w:rFonts w:ascii="Times New Roman" w:hAnsi="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rPr>
  </w:style>
  <w:style w:type="paragraph" w:styleId="BodyText">
    <w:name w:val="Body Text"/>
    <w:basedOn w:val="Normal"/>
    <w:link w:val="BodyTextChar"/>
    <w:uiPriority w:val="99"/>
    <w:unhideWhenUsed/>
    <w:rsid w:val="00AA1D8D"/>
    <w:pPr>
      <w:spacing w:after="120"/>
    </w:pPr>
    <w:rPr>
      <w:rFonts w:ascii="Times New Roman" w:hAnsi="Times New Roman"/>
    </w:rPr>
  </w:style>
  <w:style w:type="character" w:customStyle="1" w:styleId="BodyTextChar">
    <w:name w:val="Body Text Char"/>
    <w:basedOn w:val="DefaultParagraphFont"/>
    <w:link w:val="BodyText"/>
    <w:uiPriority w:val="99"/>
    <w:rsid w:val="00AA1D8D"/>
    <w:rPr>
      <w:rFonts w:ascii="Times New Roman" w:hAnsi="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rPr>
  </w:style>
  <w:style w:type="character" w:customStyle="1" w:styleId="BodyText2Char">
    <w:name w:val="Body Text 2 Char"/>
    <w:basedOn w:val="DefaultParagraphFont"/>
    <w:link w:val="BodyText2"/>
    <w:uiPriority w:val="99"/>
    <w:rsid w:val="00AA1D8D"/>
    <w:rPr>
      <w:rFonts w:ascii="Times New Roman" w:hAnsi="Times New Roman"/>
    </w:rPr>
  </w:style>
  <w:style w:type="paragraph" w:styleId="BodyText3">
    <w:name w:val="Body Text 3"/>
    <w:basedOn w:val="Normal"/>
    <w:link w:val="BodyText3Char"/>
    <w:uiPriority w:val="99"/>
    <w:unhideWhenUsed/>
    <w:rsid w:val="00AA1D8D"/>
    <w:pPr>
      <w:spacing w:after="120"/>
    </w:pPr>
    <w:rPr>
      <w:rFonts w:ascii="Times New Roman" w:hAnsi="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rPr>
  </w:style>
  <w:style w:type="paragraph" w:styleId="List2">
    <w:name w:val="List 2"/>
    <w:basedOn w:val="Normal"/>
    <w:uiPriority w:val="99"/>
    <w:unhideWhenUsed/>
    <w:rsid w:val="00326F90"/>
    <w:pPr>
      <w:ind w:left="720" w:hanging="360"/>
      <w:contextualSpacing/>
    </w:pPr>
    <w:rPr>
      <w:rFonts w:ascii="Times New Roman" w:hAnsi="Times New Roman"/>
    </w:rPr>
  </w:style>
  <w:style w:type="paragraph" w:styleId="List3">
    <w:name w:val="List 3"/>
    <w:basedOn w:val="Normal"/>
    <w:uiPriority w:val="99"/>
    <w:unhideWhenUsed/>
    <w:rsid w:val="00326F90"/>
    <w:pPr>
      <w:ind w:left="1080" w:hanging="360"/>
      <w:contextualSpacing/>
    </w:pPr>
    <w:rPr>
      <w:rFonts w:ascii="Times New Roman" w:hAnsi="Times New Roman"/>
    </w:rPr>
  </w:style>
  <w:style w:type="paragraph" w:styleId="ListBullet">
    <w:name w:val="List Bullet"/>
    <w:basedOn w:val="Normal"/>
    <w:uiPriority w:val="99"/>
    <w:unhideWhenUsed/>
    <w:rsid w:val="00326F90"/>
    <w:pPr>
      <w:numPr>
        <w:numId w:val="1"/>
      </w:numPr>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rPr>
  </w:style>
  <w:style w:type="paragraph" w:styleId="ListNumber">
    <w:name w:val="List Number"/>
    <w:basedOn w:val="Normal"/>
    <w:uiPriority w:val="99"/>
    <w:unhideWhenUsed/>
    <w:rsid w:val="00326F90"/>
    <w:pPr>
      <w:numPr>
        <w:numId w:val="5"/>
      </w:numPr>
      <w:contextualSpacing/>
    </w:pPr>
    <w:rPr>
      <w:rFonts w:ascii="Times New Roman" w:hAnsi="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4F81BD" w:themeColor="accent1"/>
      <w:sz w:val="18"/>
      <w:szCs w:val="18"/>
    </w:rPr>
  </w:style>
  <w:style w:type="character" w:styleId="Strong">
    <w:name w:val="Strong"/>
    <w:basedOn w:val="DefaultParagraphFont"/>
    <w:uiPriority w:val="22"/>
    <w:qFormat/>
    <w:rsid w:val="00FC693F"/>
    <w:rPr>
      <w:rFonts w:ascii="Times New Roman" w:hAnsi="Times New Roman"/>
      <w:b/>
      <w:bCs/>
    </w:rPr>
  </w:style>
  <w:style w:type="character" w:styleId="Emphasis">
    <w:name w:val="Emphasis"/>
    <w:basedOn w:val="DefaultParagraphFont"/>
    <w:uiPriority w:val="20"/>
    <w:qFormat/>
    <w:rsid w:val="00FC693F"/>
    <w:rPr>
      <w:rFonts w:ascii="Times New Roman" w:hAnsi="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ebius.com/newsroom/nebius-reports-first-quarter-2026-financial-results" TargetMode="External"/><Relationship Id="rId10" Type="http://schemas.openxmlformats.org/officeDocument/2006/relationships/image" Target="media/image1.png"/><Relationship Id="rId11" Type="http://schemas.openxmlformats.org/officeDocument/2006/relationships/hyperlink" Target="https://www.sec.gov/cgi-bin/browse-edgar?action=getcompany&amp;CIK=0001513845&amp;type=6-K" TargetMode="Externa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www.investing.com/news/transcripts/earnings-call-transcript-nebius-group-q1-2026-earnings-beat-expectations-93CH-4684818" TargetMode="Externa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hyperlink" Target="https://www.fool.com/earnings/call-transcripts/2026/05/13/nebius-nbis-q1-2026-earnings-transcript/" TargetMode="External"/><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hyperlink" Target="https://www.businesswire.com/news/home/20260513568820/en/Nebius-reports-first-quarter-2026-financial-results" TargetMode="External"/><Relationship Id="rId24" Type="http://schemas.openxmlformats.org/officeDocument/2006/relationships/hyperlink" Target="https://nebius.com/financials" TargetMode="External"/><Relationship Id="rId25" Type="http://schemas.openxmlformats.org/officeDocument/2006/relationships/hyperlink" Target="https://seekingalpha.com/article/4907267-nebius-breaking-down-nebiuss-q1-earn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