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  <w:jc w:val="center"/>
      </w:pPr>
      <w:r>
        <w:rPr>
          <w:rFonts w:ascii="Times New Roman" w:hAnsi="Times New Roman" w:eastAsia="宋体"/>
          <w:b w:val="0"/>
          <w:i w:val="0"/>
          <w:color w:val="6B7280"/>
          <w:sz w:val="18"/>
        </w:rPr>
        <w:t>股票研究 - 业绩更新报告</w:t>
      </w:r>
    </w:p>
    <w:p>
      <w:pPr>
        <w:spacing w:before="0" w:after="40" w:line="264" w:lineRule="auto"/>
        <w:jc w:val="center"/>
      </w:pPr>
      <w:r>
        <w:rPr>
          <w:rFonts w:ascii="Times New Roman" w:hAnsi="Times New Roman" w:eastAsia="黑体"/>
          <w:b/>
          <w:i w:val="0"/>
          <w:color w:val="1A6B8A"/>
          <w:sz w:val="38"/>
        </w:rPr>
        <w:t>美光科技（Micron Technology, Inc.）| NASDAQ: MU</w:t>
      </w:r>
    </w:p>
    <w:p>
      <w:pPr>
        <w:spacing w:before="0" w:after="80" w:line="264" w:lineRule="auto"/>
        <w:jc w:val="center"/>
      </w:pPr>
      <w:r>
        <w:rPr>
          <w:rFonts w:ascii="Times New Roman" w:hAnsi="Times New Roman" w:eastAsia="宋体"/>
          <w:b w:val="0"/>
          <w:i/>
          <w:color w:val="111827"/>
          <w:sz w:val="24"/>
        </w:rPr>
        <w:t>FY2026财年第三季度：创纪录季度、长期合同能见度与再次超预期上调指引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512"/>
            <w:shd w:fill="1A6B8A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评级</w:t>
            </w:r>
          </w:p>
        </w:tc>
        <w:tc>
          <w:tcPr>
            <w:tcW w:type="dxa" w:w="1728"/>
            <w:shd w:fill="1A6B8A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目标价</w:t>
            </w:r>
          </w:p>
        </w:tc>
        <w:tc>
          <w:tcPr>
            <w:tcW w:type="dxa" w:w="1800"/>
            <w:shd w:fill="1A6B8A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当前股价</w:t>
            </w:r>
          </w:p>
        </w:tc>
        <w:tc>
          <w:tcPr>
            <w:tcW w:type="dxa" w:w="1800"/>
            <w:shd w:fill="1A6B8A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市值</w:t>
            </w:r>
          </w:p>
        </w:tc>
        <w:tc>
          <w:tcPr>
            <w:tcW w:type="dxa" w:w="1800"/>
            <w:shd w:fill="1A6B8A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报告日期</w:t>
            </w:r>
          </w:p>
        </w:tc>
      </w:tr>
      <w:tr>
        <w:tc>
          <w:tcPr>
            <w:tcW w:type="dxa" w:w="1512"/>
            <w:shd w:fill="FFFFFF"/>
            <w:vAlign w:val="center"/>
            <w:shd w:fill="EAF4F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E7D52"/>
                <w:sz w:val="17"/>
              </w:rPr>
              <w:t>买入 / 增持</w:t>
            </w:r>
          </w:p>
        </w:tc>
        <w:tc>
          <w:tcPr>
            <w:tcW w:type="dxa" w:w="1728"/>
            <w:shd w:fill="FFFFFF"/>
            <w:vAlign w:val="center"/>
            <w:shd w:fill="EAF4F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$1,600</w:t>
            </w:r>
          </w:p>
        </w:tc>
        <w:tc>
          <w:tcPr>
            <w:tcW w:type="dxa" w:w="1800"/>
            <w:shd w:fill="FFFFFF"/>
            <w:vAlign w:val="center"/>
            <w:shd w:fill="EAF4F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$1,154.29</w:t>
            </w:r>
          </w:p>
        </w:tc>
        <w:tc>
          <w:tcPr>
            <w:tcW w:type="dxa" w:w="1800"/>
            <w:shd w:fill="FFFFFF"/>
            <w:vAlign w:val="center"/>
            <w:shd w:fill="EAF4F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约$1.30万亿</w:t>
            </w:r>
          </w:p>
        </w:tc>
        <w:tc>
          <w:tcPr>
            <w:tcW w:type="dxa" w:w="1800"/>
            <w:shd w:fill="FFFFFF"/>
            <w:vAlign w:val="center"/>
            <w:shd w:fill="EAF4F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2026年7月1日</w:t>
            </w:r>
          </w:p>
        </w:tc>
      </w:tr>
    </w:tbl>
    <w:p>
      <w:pPr>
        <w:spacing w:before="0" w:after="80" w:line="264" w:lineRule="auto"/>
        <w:jc w:val="left"/>
      </w:pPr>
      <w:r>
        <w:rPr>
          <w:rFonts w:ascii="Times New Roman" w:hAnsi="Times New Roman" w:eastAsia="宋体"/>
          <w:b w:val="0"/>
          <w:i/>
          <w:color w:val="6B7280"/>
          <w:sz w:val="15"/>
        </w:rPr>
        <w:t>市场数据：Longbridge CLI quote MU.US, pulled July 1, 2026 16:24 CST。本地运行环境未安装 yfinance，股价采用 Longbridge CLI 动态报价。</w:t>
      </w:r>
    </w:p>
    <w:p>
      <w:pPr>
        <w:spacing w:before="200" w:after="80" w:line="264" w:lineRule="auto"/>
        <w:jc w:val="left"/>
        <w:pBdr>
          <w:bottom w:val="single" w:sz="6" w:space="4" w:color="1A6B8A"/>
        </w:pBdr>
      </w:pPr>
      <w:r>
        <w:rPr>
          <w:rFonts w:ascii="Times New Roman" w:hAnsi="Times New Roman" w:eastAsia="黑体"/>
          <w:b/>
          <w:i w:val="0"/>
          <w:color w:val="1A6B8A"/>
          <w:sz w:val="26"/>
        </w:rPr>
        <w:t>业绩摘要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872"/>
            <w:shd w:fill="1A6B8A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指标</w:t>
            </w:r>
          </w:p>
        </w:tc>
        <w:tc>
          <w:tcPr>
            <w:tcW w:type="dxa" w:w="2016"/>
            <w:shd w:fill="1A6B8A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实际 / 指引</w:t>
            </w:r>
          </w:p>
        </w:tc>
        <w:tc>
          <w:tcPr>
            <w:tcW w:type="dxa" w:w="1800"/>
            <w:shd w:fill="1A6B8A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一致预期</w:t>
            </w:r>
          </w:p>
        </w:tc>
        <w:tc>
          <w:tcPr>
            <w:tcW w:type="dxa" w:w="2520"/>
            <w:shd w:fill="1A6B8A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差异</w:t>
            </w:r>
          </w:p>
        </w:tc>
        <w:tc>
          <w:tcPr>
            <w:tcW w:type="dxa" w:w="1728"/>
            <w:shd w:fill="1A6B8A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同比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营收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$41.46B</w:t>
            </w:r>
          </w:p>
        </w:tc>
        <w:tc>
          <w:tcPr>
            <w:tcW w:type="dxa" w:w="1800"/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$35.91B</w:t>
            </w:r>
          </w:p>
        </w:tc>
        <w:tc>
          <w:tcPr>
            <w:tcW w:type="dxa" w:w="2520"/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E7D52"/>
                <w:sz w:val="17"/>
              </w:rPr>
              <w:t>超预期 +$5.55B（+15.4%）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E7D52"/>
                <w:sz w:val="17"/>
              </w:rPr>
              <w:t>+346%</w:t>
            </w:r>
          </w:p>
        </w:tc>
      </w:tr>
      <w:tr>
        <w:tc>
          <w:tcPr>
            <w:tcW w:type="dxa" w:w="1872"/>
            <w:shd w:fill="F3F4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Non-GAAP EPS</w:t>
            </w:r>
          </w:p>
        </w:tc>
        <w:tc>
          <w:tcPr>
            <w:tcW w:type="dxa" w:w="2016"/>
            <w:shd w:fill="F3F4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$25.11</w:t>
            </w:r>
          </w:p>
        </w:tc>
        <w:tc>
          <w:tcPr>
            <w:tcW w:type="dxa" w:w="1800"/>
            <w:shd w:fill="F3F4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$20.86</w:t>
            </w:r>
          </w:p>
        </w:tc>
        <w:tc>
          <w:tcPr>
            <w:tcW w:type="dxa" w:w="2520"/>
            <w:shd w:fill="F3F4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E7D52"/>
                <w:sz w:val="17"/>
              </w:rPr>
              <w:t>超预期 +$4.25（+20.4%）</w:t>
            </w:r>
          </w:p>
        </w:tc>
        <w:tc>
          <w:tcPr>
            <w:tcW w:type="dxa" w:w="1728"/>
            <w:shd w:fill="F3F4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E7D52"/>
                <w:sz w:val="17"/>
              </w:rPr>
              <w:t>+1,215%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Non-GAAP毛利率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84.9%</w:t>
            </w:r>
          </w:p>
        </w:tc>
        <w:tc>
          <w:tcPr>
            <w:tcW w:type="dxa" w:w="1800"/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N/A</w:t>
            </w:r>
          </w:p>
        </w:tc>
        <w:tc>
          <w:tcPr>
            <w:tcW w:type="dxa" w:w="2520"/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公司历史新高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E7D52"/>
                <w:sz w:val="17"/>
              </w:rPr>
              <w:t>+45.9个百分点</w:t>
            </w:r>
          </w:p>
        </w:tc>
      </w:tr>
      <w:tr>
        <w:tc>
          <w:tcPr>
            <w:tcW w:type="dxa" w:w="1872"/>
            <w:shd w:fill="F3F4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经营现金流</w:t>
            </w:r>
          </w:p>
        </w:tc>
        <w:tc>
          <w:tcPr>
            <w:tcW w:type="dxa" w:w="2016"/>
            <w:shd w:fill="F3F4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$25.39B</w:t>
            </w:r>
          </w:p>
        </w:tc>
        <w:tc>
          <w:tcPr>
            <w:tcW w:type="dxa" w:w="1800"/>
            <w:shd w:fill="F3F4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N/A</w:t>
            </w:r>
          </w:p>
        </w:tc>
        <w:tc>
          <w:tcPr>
            <w:tcW w:type="dxa" w:w="2520"/>
            <w:shd w:fill="F3F4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现金创造创纪录</w:t>
            </w:r>
          </w:p>
        </w:tc>
        <w:tc>
          <w:tcPr>
            <w:tcW w:type="dxa" w:w="1728"/>
            <w:shd w:fill="F3F4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E7D52"/>
                <w:sz w:val="17"/>
              </w:rPr>
              <w:t>+451%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FQ4营收指引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E7D52"/>
                <w:sz w:val="17"/>
              </w:rPr>
              <w:t>$50.0B +/- $1.0B</w:t>
            </w:r>
          </w:p>
        </w:tc>
        <w:tc>
          <w:tcPr>
            <w:tcW w:type="dxa" w:w="1800"/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$43.58B</w:t>
            </w:r>
          </w:p>
        </w:tc>
        <w:tc>
          <w:tcPr>
            <w:tcW w:type="dxa" w:w="2520"/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高于一致预期约15%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E7D52"/>
                <w:sz w:val="17"/>
              </w:rPr>
              <w:t>隐含同比+342%</w:t>
            </w:r>
          </w:p>
        </w:tc>
      </w:tr>
    </w:tbl>
    <w:p>
      <w:pPr>
        <w:spacing w:before="40" w:after="80" w:line="264" w:lineRule="auto"/>
        <w:jc w:val="left"/>
      </w:pPr>
      <w:r>
        <w:rPr>
          <w:rFonts w:ascii="Times New Roman" w:hAnsi="Times New Roman" w:eastAsia="宋体"/>
          <w:b w:val="0"/>
          <w:i/>
          <w:color w:val="6B7280"/>
          <w:sz w:val="15"/>
        </w:rPr>
        <w:t>资料来源：</w:t>
      </w:r>
      <w:hyperlink r:id="rId11">
        <w:r>
          <w:rPr>
            <w:color w:val="1A6B8A"/>
            <w:u w:val="single"/>
          </w:rPr>
          <w:t>美光业绩公告</w:t>
        </w:r>
      </w:hyperlink>
      <w:r>
        <w:rPr>
          <w:rFonts w:ascii="Times New Roman" w:hAnsi="Times New Roman" w:eastAsia="宋体"/>
          <w:b w:val="0"/>
          <w:i/>
          <w:color w:val="6B7280"/>
          <w:sz w:val="15"/>
        </w:rPr>
        <w:t>；</w:t>
      </w:r>
      <w:hyperlink r:id="rId12">
        <w:r>
          <w:rPr>
            <w:color w:val="1A6B8A"/>
            <w:u w:val="single"/>
          </w:rPr>
          <w:t>IBD / FactSet一致预期</w:t>
        </w:r>
      </w:hyperlink>
    </w:p>
    <w:p>
      <w:pPr>
        <w:pStyle w:val="ListBullet"/>
        <w:spacing w:after="80"/>
      </w:pPr>
      <w:r>
        <w:rPr>
          <w:rFonts w:ascii="Times New Roman" w:hAnsi="Times New Roman" w:eastAsia="黑体"/>
          <w:b/>
          <w:i w:val="0"/>
          <w:color w:val="1A6B8A"/>
          <w:sz w:val="21"/>
        </w:rPr>
        <w:t xml:space="preserve">营收超预期幅度巨大且质量高。 </w:t>
      </w:r>
      <w:r>
        <w:rPr>
          <w:rFonts w:ascii="Times New Roman" w:hAnsi="Times New Roman" w:eastAsia="宋体"/>
          <w:b w:val="0"/>
          <w:i w:val="0"/>
          <w:sz w:val="21"/>
        </w:rPr>
        <w:t>FY2026Q3营收414.6亿美元，高于FactSet一致预期55.5亿美元，环比增长74%，DRAM和NAND均创历史新高。</w:t>
      </w:r>
    </w:p>
    <w:p>
      <w:pPr>
        <w:pStyle w:val="ListBullet"/>
        <w:spacing w:after="80"/>
      </w:pPr>
      <w:r>
        <w:rPr>
          <w:rFonts w:ascii="Times New Roman" w:hAnsi="Times New Roman" w:eastAsia="黑体"/>
          <w:b/>
          <w:i w:val="0"/>
          <w:color w:val="1A6B8A"/>
          <w:sz w:val="21"/>
        </w:rPr>
        <w:t xml:space="preserve">利润率改变估值框架。 </w:t>
      </w:r>
      <w:r>
        <w:rPr>
          <w:rFonts w:ascii="Times New Roman" w:hAnsi="Times New Roman" w:eastAsia="宋体"/>
          <w:b w:val="0"/>
          <w:i w:val="0"/>
          <w:sz w:val="21"/>
        </w:rPr>
        <w:t>Non-GAAP毛利率84.9%，营业利润率81.2%，显示当前存储供需格局已不再是普通周期性复苏，而是短缺经济。</w:t>
      </w:r>
    </w:p>
    <w:p>
      <w:pPr>
        <w:pStyle w:val="ListBullet"/>
        <w:spacing w:after="80"/>
      </w:pPr>
      <w:r>
        <w:rPr>
          <w:rFonts w:ascii="Times New Roman" w:hAnsi="Times New Roman" w:eastAsia="黑体"/>
          <w:b/>
          <w:i w:val="0"/>
          <w:color w:val="1A6B8A"/>
          <w:sz w:val="21"/>
        </w:rPr>
        <w:t xml:space="preserve">战略客户协议降低历史周期波动。 </w:t>
      </w:r>
      <w:r>
        <w:rPr>
          <w:rFonts w:ascii="Times New Roman" w:hAnsi="Times New Roman" w:eastAsia="宋体"/>
          <w:b w:val="0"/>
          <w:i w:val="0"/>
          <w:sz w:val="21"/>
        </w:rPr>
        <w:t>公司披露16份SCA，签署后RPO约1,000亿美元，预计现金存款及相关承诺约220亿美元，其中现金存款约180亿美元。</w:t>
      </w:r>
    </w:p>
    <w:p>
      <w:pPr>
        <w:pStyle w:val="ListBullet"/>
        <w:spacing w:after="80"/>
      </w:pPr>
      <w:r>
        <w:rPr>
          <w:rFonts w:ascii="Times New Roman" w:hAnsi="Times New Roman" w:eastAsia="黑体"/>
          <w:b/>
          <w:i w:val="0"/>
          <w:color w:val="1A6B8A"/>
          <w:sz w:val="21"/>
        </w:rPr>
        <w:t xml:space="preserve">维持买入，目标价上调至1,600美元。 </w:t>
      </w:r>
      <w:r>
        <w:rPr>
          <w:rFonts w:ascii="Times New Roman" w:hAnsi="Times New Roman" w:eastAsia="宋体"/>
          <w:b w:val="0"/>
          <w:i w:val="0"/>
          <w:sz w:val="21"/>
        </w:rPr>
        <w:t>目标价反映FY2026/FY2027 EPS上调、收入能见度提升，以及更高的合同化存储业务估值倍数。</w:t>
      </w:r>
    </w:p>
    <w:p>
      <w:r>
        <w:br w:type="page"/>
      </w:r>
    </w:p>
    <w:p>
      <w:pPr>
        <w:spacing w:before="200" w:after="80" w:line="264" w:lineRule="auto"/>
        <w:jc w:val="left"/>
        <w:pBdr>
          <w:bottom w:val="single" w:sz="6" w:space="4" w:color="1A6B8A"/>
        </w:pBdr>
      </w:pPr>
      <w:r>
        <w:rPr>
          <w:rFonts w:ascii="Times New Roman" w:hAnsi="Times New Roman" w:eastAsia="黑体"/>
          <w:b/>
          <w:i w:val="0"/>
          <w:color w:val="1A6B8A"/>
          <w:sz w:val="26"/>
        </w:rPr>
        <w:t>详细业绩分析</w:t>
      </w:r>
    </w:p>
    <w:p>
      <w:pPr>
        <w:spacing w:before="140" w:after="60" w:line="264" w:lineRule="auto"/>
        <w:jc w:val="left"/>
      </w:pPr>
      <w:r>
        <w:rPr>
          <w:rFonts w:ascii="Times New Roman" w:hAnsi="Times New Roman" w:eastAsia="黑体"/>
          <w:b/>
          <w:i w:val="0"/>
          <w:color w:val="111827"/>
          <w:sz w:val="22"/>
        </w:rPr>
        <w:t>营收：规模创纪录，环比加速</w:t>
      </w:r>
    </w:p>
    <w:p>
      <w:pPr>
        <w:spacing w:before="0" w:after="100" w:line="264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美光在截至2026年5月28日的FY2026Q3实现营收414.6亿美元，同比增长346%、环比增长74%。业绩超预期的原因在于DRAM和NAND同时供需紧张、AI相关产品结构提升，以及价格上涨速度显著快于市场模型。55.5亿美元的营收超预期幅度本身就相当于去年同期营收的一半以上。</w:t>
      </w:r>
    </w:p>
    <w:p>
      <w:pPr>
        <w:keepNext/>
        <w:spacing w:before="80" w:after="40" w:line="264" w:lineRule="auto"/>
        <w:jc w:val="center"/>
      </w:pPr>
      <w:r>
        <w:rPr>
          <w:rFonts w:ascii="Times New Roman" w:hAnsi="Times New Roman" w:eastAsia="黑体"/>
          <w:b/>
          <w:i w:val="0"/>
          <w:color w:val="111827"/>
          <w:sz w:val="17"/>
        </w:rPr>
        <w:t>图1 - 季度营收走势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83480" cy="28055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chart1_revenu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805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 w:line="264" w:lineRule="auto"/>
        <w:jc w:val="left"/>
      </w:pPr>
      <w:r>
        <w:rPr>
          <w:rFonts w:ascii="Times New Roman" w:hAnsi="Times New Roman" w:eastAsia="宋体"/>
          <w:b w:val="0"/>
          <w:i/>
          <w:color w:val="6B7280"/>
          <w:sz w:val="15"/>
        </w:rPr>
        <w:t>资料来源：</w:t>
      </w:r>
      <w:hyperlink r:id="rId11">
        <w:r>
          <w:rPr>
            <w:color w:val="1A6B8A"/>
            <w:u w:val="single"/>
          </w:rPr>
          <w:t>美光业绩公告</w:t>
        </w:r>
      </w:hyperlink>
      <w:r>
        <w:rPr>
          <w:rFonts w:ascii="Times New Roman" w:hAnsi="Times New Roman" w:eastAsia="宋体"/>
          <w:b w:val="0"/>
          <w:i/>
          <w:color w:val="6B7280"/>
          <w:sz w:val="15"/>
        </w:rPr>
        <w:t>；</w:t>
      </w:r>
      <w:hyperlink r:id="rId14">
        <w:r>
          <w:rPr>
            <w:color w:val="1A6B8A"/>
            <w:u w:val="single"/>
          </w:rPr>
          <w:t>Form 10-Q</w:t>
        </w:r>
      </w:hyperlink>
      <w:r>
        <w:rPr>
          <w:rFonts w:ascii="Times New Roman" w:hAnsi="Times New Roman" w:eastAsia="宋体"/>
          <w:b w:val="0"/>
          <w:i/>
          <w:color w:val="6B7280"/>
          <w:sz w:val="15"/>
        </w:rPr>
        <w:t>；</w:t>
      </w:r>
      <w:hyperlink r:id="rId12">
        <w:r>
          <w:rPr>
            <w:color w:val="1A6B8A"/>
            <w:u w:val="single"/>
          </w:rPr>
          <w:t>FactSet via IBD</w:t>
        </w:r>
      </w:hyperlink>
    </w:p>
    <w:p>
      <w:pPr>
        <w:spacing w:before="140" w:after="60" w:line="264" w:lineRule="auto"/>
        <w:jc w:val="left"/>
      </w:pPr>
      <w:r>
        <w:rPr>
          <w:rFonts w:ascii="Times New Roman" w:hAnsi="Times New Roman" w:eastAsia="黑体"/>
          <w:b/>
          <w:i w:val="0"/>
          <w:color w:val="111827"/>
          <w:sz w:val="22"/>
        </w:rPr>
        <w:t>DRAM与NAND：两个业务均进入产能约束状态</w:t>
      </w:r>
    </w:p>
    <w:p>
      <w:pPr>
        <w:spacing w:before="0" w:after="100" w:line="264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管理层准备发言显示，DRAM收入313亿美元，同比增长343%、环比增长67%，占总收入76%；NAND收入99亿美元，同比增长361%、环比增长99%，占总收入24%。DRAM ASP环比低60%区间上涨，NAND ASP环比中80%区间上涨，价格是本季利润弹性的核心。</w:t>
      </w:r>
    </w:p>
    <w:p>
      <w:pPr>
        <w:keepNext/>
        <w:spacing w:before="80" w:after="40" w:line="264" w:lineRule="auto"/>
        <w:jc w:val="center"/>
      </w:pPr>
      <w:r>
        <w:rPr>
          <w:rFonts w:ascii="Times New Roman" w:hAnsi="Times New Roman" w:eastAsia="黑体"/>
          <w:b/>
          <w:i w:val="0"/>
          <w:color w:val="111827"/>
          <w:sz w:val="17"/>
        </w:rPr>
        <w:t>图2 - DRAM与NAND分产品营收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83480" cy="28055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chart4_dram_na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805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 w:line="264" w:lineRule="auto"/>
        <w:jc w:val="left"/>
      </w:pPr>
      <w:r>
        <w:rPr>
          <w:rFonts w:ascii="Times New Roman" w:hAnsi="Times New Roman" w:eastAsia="宋体"/>
          <w:b w:val="0"/>
          <w:i/>
          <w:color w:val="6B7280"/>
          <w:sz w:val="15"/>
        </w:rPr>
        <w:t>资料来源：</w:t>
      </w:r>
      <w:hyperlink r:id="rId16">
        <w:r>
          <w:rPr>
            <w:color w:val="1A6B8A"/>
            <w:u w:val="single"/>
          </w:rPr>
          <w:t>管理层准备发言</w:t>
        </w:r>
      </w:hyperlink>
      <w:r>
        <w:rPr>
          <w:rFonts w:ascii="Times New Roman" w:hAnsi="Times New Roman" w:eastAsia="宋体"/>
          <w:b w:val="0"/>
          <w:i/>
          <w:color w:val="6B7280"/>
          <w:sz w:val="15"/>
        </w:rPr>
        <w:t>；</w:t>
      </w:r>
      <w:hyperlink r:id="rId17">
        <w:r>
          <w:rPr>
            <w:color w:val="1A6B8A"/>
            <w:u w:val="single"/>
          </w:rPr>
          <w:t>投资者演示材料</w:t>
        </w:r>
      </w:hyperlink>
    </w:p>
    <w:p>
      <w:pPr>
        <w:spacing w:before="140" w:after="60" w:line="264" w:lineRule="auto"/>
        <w:jc w:val="left"/>
      </w:pPr>
      <w:r>
        <w:rPr>
          <w:rFonts w:ascii="Times New Roman" w:hAnsi="Times New Roman" w:eastAsia="黑体"/>
          <w:b/>
          <w:i w:val="0"/>
          <w:color w:val="111827"/>
          <w:sz w:val="22"/>
        </w:rPr>
        <w:t>业务单元：四大业务均创纪录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2592"/>
            <w:shd w:fill="1A6B8A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业务单元</w:t>
            </w:r>
          </w:p>
        </w:tc>
        <w:tc>
          <w:tcPr>
            <w:tcW w:type="dxa" w:w="1440"/>
            <w:shd w:fill="1A6B8A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收入</w:t>
            </w:r>
          </w:p>
        </w:tc>
        <w:tc>
          <w:tcPr>
            <w:tcW w:type="dxa" w:w="1440"/>
            <w:shd w:fill="1A6B8A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毛利率</w:t>
            </w:r>
          </w:p>
        </w:tc>
        <w:tc>
          <w:tcPr>
            <w:tcW w:type="dxa" w:w="1296"/>
            <w:shd w:fill="1A6B8A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环比</w:t>
            </w:r>
          </w:p>
        </w:tc>
        <w:tc>
          <w:tcPr>
            <w:tcW w:type="dxa" w:w="1296"/>
            <w:shd w:fill="1A6B8A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同比</w:t>
            </w:r>
          </w:p>
        </w:tc>
      </w:tr>
      <w:tr>
        <w:tc>
          <w:tcPr>
            <w:tcW w:type="dxa" w:w="259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Cloud Memory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$13.8B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83%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E7D52"/>
                <w:sz w:val="17"/>
              </w:rPr>
              <w:t>+78%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E7D52"/>
                <w:sz w:val="17"/>
              </w:rPr>
              <w:t>+307%</w:t>
            </w:r>
          </w:p>
        </w:tc>
      </w:tr>
      <w:tr>
        <w:tc>
          <w:tcPr>
            <w:tcW w:type="dxa" w:w="2592"/>
            <w:shd w:fill="F3F4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Core Data Center</w:t>
            </w:r>
          </w:p>
        </w:tc>
        <w:tc>
          <w:tcPr>
            <w:tcW w:type="dxa" w:w="1440"/>
            <w:shd w:fill="F3F4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$11.5B</w:t>
            </w:r>
          </w:p>
        </w:tc>
        <w:tc>
          <w:tcPr>
            <w:tcW w:type="dxa" w:w="1440"/>
            <w:shd w:fill="F3F4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87%</w:t>
            </w:r>
          </w:p>
        </w:tc>
        <w:tc>
          <w:tcPr>
            <w:tcW w:type="dxa" w:w="1296"/>
            <w:shd w:fill="F3F4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E7D52"/>
                <w:sz w:val="17"/>
              </w:rPr>
              <w:t>+103%</w:t>
            </w:r>
          </w:p>
        </w:tc>
        <w:tc>
          <w:tcPr>
            <w:tcW w:type="dxa" w:w="1296"/>
            <w:shd w:fill="F3F4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E7D52"/>
                <w:sz w:val="17"/>
              </w:rPr>
              <w:t>+653%</w:t>
            </w:r>
          </w:p>
        </w:tc>
      </w:tr>
      <w:tr>
        <w:tc>
          <w:tcPr>
            <w:tcW w:type="dxa" w:w="2592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Mobile &amp; Client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$11.5B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87%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E7D52"/>
                <w:sz w:val="17"/>
              </w:rPr>
              <w:t>+49%</w:t>
            </w:r>
          </w:p>
        </w:tc>
        <w:tc>
          <w:tcPr>
            <w:tcW w:type="dxa" w:w="1296"/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E7D52"/>
                <w:sz w:val="17"/>
              </w:rPr>
              <w:t>+254%</w:t>
            </w:r>
          </w:p>
        </w:tc>
      </w:tr>
      <w:tr>
        <w:tc>
          <w:tcPr>
            <w:tcW w:type="dxa" w:w="2592"/>
            <w:shd w:fill="F3F4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Auto &amp; Embedded</w:t>
            </w:r>
          </w:p>
        </w:tc>
        <w:tc>
          <w:tcPr>
            <w:tcW w:type="dxa" w:w="1440"/>
            <w:shd w:fill="F3F4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$4.6B</w:t>
            </w:r>
          </w:p>
        </w:tc>
        <w:tc>
          <w:tcPr>
            <w:tcW w:type="dxa" w:w="1440"/>
            <w:shd w:fill="F3F4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79%</w:t>
            </w:r>
          </w:p>
        </w:tc>
        <w:tc>
          <w:tcPr>
            <w:tcW w:type="dxa" w:w="1296"/>
            <w:shd w:fill="F3F4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E7D52"/>
                <w:sz w:val="17"/>
              </w:rPr>
              <w:t>+71%</w:t>
            </w:r>
          </w:p>
        </w:tc>
        <w:tc>
          <w:tcPr>
            <w:tcW w:type="dxa" w:w="1296"/>
            <w:shd w:fill="F3F4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E7D52"/>
                <w:sz w:val="17"/>
              </w:rPr>
              <w:t>+311%</w:t>
            </w:r>
          </w:p>
        </w:tc>
      </w:tr>
    </w:tbl>
    <w:p>
      <w:pPr>
        <w:spacing w:before="40" w:after="80" w:line="264" w:lineRule="auto"/>
        <w:jc w:val="left"/>
      </w:pPr>
      <w:r>
        <w:rPr>
          <w:rFonts w:ascii="Times New Roman" w:hAnsi="Times New Roman" w:eastAsia="宋体"/>
          <w:b w:val="0"/>
          <w:i/>
          <w:color w:val="6B7280"/>
          <w:sz w:val="15"/>
        </w:rPr>
        <w:t>资料来源：</w:t>
      </w:r>
      <w:hyperlink r:id="rId11">
        <w:r>
          <w:rPr>
            <w:color w:val="1A6B8A"/>
            <w:u w:val="single"/>
          </w:rPr>
          <w:t>美光FY2026Q3业绩公告</w:t>
        </w:r>
      </w:hyperlink>
      <w:r>
        <w:rPr>
          <w:rFonts w:ascii="Times New Roman" w:hAnsi="Times New Roman" w:eastAsia="宋体"/>
          <w:b w:val="0"/>
          <w:i/>
          <w:color w:val="6B7280"/>
          <w:sz w:val="15"/>
        </w:rPr>
        <w:t>；</w:t>
      </w:r>
      <w:hyperlink r:id="rId17">
        <w:r>
          <w:rPr>
            <w:color w:val="1A6B8A"/>
            <w:u w:val="single"/>
          </w:rPr>
          <w:t>投资者演示材料第22-24页</w:t>
        </w:r>
      </w:hyperlink>
    </w:p>
    <w:p>
      <w:pPr>
        <w:keepNext/>
        <w:spacing w:before="80" w:after="40" w:line="264" w:lineRule="auto"/>
        <w:jc w:val="center"/>
      </w:pPr>
      <w:r>
        <w:rPr>
          <w:rFonts w:ascii="Times New Roman" w:hAnsi="Times New Roman" w:eastAsia="黑体"/>
          <w:b/>
          <w:i w:val="0"/>
          <w:color w:val="111827"/>
          <w:sz w:val="17"/>
        </w:rPr>
        <w:t>图3 - 各业务单元收入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83480" cy="28055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chart5_business_uni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805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 w:line="264" w:lineRule="auto"/>
        <w:jc w:val="left"/>
      </w:pPr>
      <w:r>
        <w:rPr>
          <w:rFonts w:ascii="Times New Roman" w:hAnsi="Times New Roman" w:eastAsia="宋体"/>
          <w:b w:val="0"/>
          <w:i/>
          <w:color w:val="6B7280"/>
          <w:sz w:val="15"/>
        </w:rPr>
        <w:t>资料来源：</w:t>
      </w:r>
      <w:hyperlink r:id="rId17">
        <w:r>
          <w:rPr>
            <w:color w:val="1A6B8A"/>
            <w:u w:val="single"/>
          </w:rPr>
          <w:t>美光投资者演示材料</w:t>
        </w:r>
      </w:hyperlink>
    </w:p>
    <w:p>
      <w:r>
        <w:br w:type="page"/>
      </w:r>
    </w:p>
    <w:p>
      <w:pPr>
        <w:spacing w:before="200" w:after="80" w:line="264" w:lineRule="auto"/>
        <w:jc w:val="left"/>
        <w:pBdr>
          <w:bottom w:val="single" w:sz="6" w:space="4" w:color="1A6B8A"/>
        </w:pBdr>
      </w:pPr>
      <w:r>
        <w:rPr>
          <w:rFonts w:ascii="Times New Roman" w:hAnsi="Times New Roman" w:eastAsia="黑体"/>
          <w:b/>
          <w:i w:val="0"/>
          <w:color w:val="1A6B8A"/>
          <w:sz w:val="26"/>
        </w:rPr>
        <w:t>盈利能力与现金流</w:t>
      </w:r>
    </w:p>
    <w:p>
      <w:pPr>
        <w:spacing w:before="140" w:after="60" w:line="264" w:lineRule="auto"/>
        <w:jc w:val="left"/>
      </w:pPr>
      <w:r>
        <w:rPr>
          <w:rFonts w:ascii="Times New Roman" w:hAnsi="Times New Roman" w:eastAsia="黑体"/>
          <w:b/>
          <w:i w:val="0"/>
          <w:color w:val="111827"/>
          <w:sz w:val="22"/>
        </w:rPr>
        <w:t>毛利率环比提升约10个百分点</w:t>
      </w:r>
    </w:p>
    <w:p>
      <w:pPr>
        <w:spacing w:before="0" w:after="100" w:line="264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Non-GAAP毛利率84.9%，环比提升约10个百分点，较去年同期翻倍以上。核心驱动是价格，产品结构改善和制造执行也有贡献。这是美光从商品存储供给过剩转向稀缺经济的最清晰信号。</w:t>
      </w:r>
    </w:p>
    <w:p>
      <w:pPr>
        <w:keepNext/>
        <w:spacing w:before="80" w:after="40" w:line="264" w:lineRule="auto"/>
        <w:jc w:val="center"/>
      </w:pPr>
      <w:r>
        <w:rPr>
          <w:rFonts w:ascii="Times New Roman" w:hAnsi="Times New Roman" w:eastAsia="黑体"/>
          <w:b/>
          <w:i w:val="0"/>
          <w:color w:val="111827"/>
          <w:sz w:val="17"/>
        </w:rPr>
        <w:t>图4 - 毛利率与营业利润率走势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83480" cy="28055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chart3_margin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805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 w:line="264" w:lineRule="auto"/>
        <w:jc w:val="left"/>
      </w:pPr>
      <w:r>
        <w:rPr>
          <w:rFonts w:ascii="Times New Roman" w:hAnsi="Times New Roman" w:eastAsia="宋体"/>
          <w:b w:val="0"/>
          <w:i/>
          <w:color w:val="6B7280"/>
          <w:sz w:val="15"/>
        </w:rPr>
        <w:t>资料来源：</w:t>
      </w:r>
      <w:hyperlink r:id="rId11">
        <w:r>
          <w:rPr>
            <w:color w:val="1A6B8A"/>
            <w:u w:val="single"/>
          </w:rPr>
          <w:t>业绩公告</w:t>
        </w:r>
      </w:hyperlink>
      <w:r>
        <w:rPr>
          <w:rFonts w:ascii="Times New Roman" w:hAnsi="Times New Roman" w:eastAsia="宋体"/>
          <w:b w:val="0"/>
          <w:i/>
          <w:color w:val="6B7280"/>
          <w:sz w:val="15"/>
        </w:rPr>
        <w:t>；</w:t>
      </w:r>
      <w:hyperlink r:id="rId17">
        <w:r>
          <w:rPr>
            <w:color w:val="1A6B8A"/>
            <w:u w:val="single"/>
          </w:rPr>
          <w:t>投资者演示材料</w:t>
        </w:r>
      </w:hyperlink>
    </w:p>
    <w:p>
      <w:pPr>
        <w:spacing w:before="140" w:after="60" w:line="264" w:lineRule="auto"/>
        <w:jc w:val="left"/>
      </w:pPr>
      <w:r>
        <w:rPr>
          <w:rFonts w:ascii="Times New Roman" w:hAnsi="Times New Roman" w:eastAsia="黑体"/>
          <w:b/>
          <w:i w:val="0"/>
          <w:color w:val="111827"/>
          <w:sz w:val="22"/>
        </w:rPr>
        <w:t>EPS与现金创造均显著超预期</w:t>
      </w:r>
    </w:p>
    <w:p>
      <w:pPr>
        <w:spacing w:before="0" w:after="100" w:line="264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Non-GAAP EPS为25.11美元，高于FactSet一致预期4.25美元，超预期幅度20%。Non-GAAP营业利润336.8亿美元，对应81.2%营业利润率。经营现金流253.9亿美元，调整后自由现金流183亿美元，即便资本开支达70.8亿美元，仍创公司纪录。</w:t>
      </w:r>
    </w:p>
    <w:p>
      <w:pPr>
        <w:keepNext/>
        <w:spacing w:before="80" w:after="40" w:line="264" w:lineRule="auto"/>
        <w:jc w:val="center"/>
      </w:pPr>
      <w:r>
        <w:rPr>
          <w:rFonts w:ascii="Times New Roman" w:hAnsi="Times New Roman" w:eastAsia="黑体"/>
          <w:b/>
          <w:i w:val="0"/>
          <w:color w:val="111827"/>
          <w:sz w:val="17"/>
        </w:rPr>
        <w:t>图5 - Non-GAAP EPS走势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83480" cy="28055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chart2_ep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805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 w:line="264" w:lineRule="auto"/>
        <w:jc w:val="left"/>
      </w:pPr>
      <w:r>
        <w:rPr>
          <w:rFonts w:ascii="Times New Roman" w:hAnsi="Times New Roman" w:eastAsia="宋体"/>
          <w:b w:val="0"/>
          <w:i/>
          <w:color w:val="6B7280"/>
          <w:sz w:val="15"/>
        </w:rPr>
        <w:t>资料来源：</w:t>
      </w:r>
      <w:hyperlink r:id="rId11">
        <w:r>
          <w:rPr>
            <w:color w:val="1A6B8A"/>
            <w:u w:val="single"/>
          </w:rPr>
          <w:t>业绩公告</w:t>
        </w:r>
      </w:hyperlink>
      <w:r>
        <w:rPr>
          <w:rFonts w:ascii="Times New Roman" w:hAnsi="Times New Roman" w:eastAsia="宋体"/>
          <w:b w:val="0"/>
          <w:i/>
          <w:color w:val="6B7280"/>
          <w:sz w:val="15"/>
        </w:rPr>
        <w:t>；</w:t>
      </w:r>
      <w:hyperlink r:id="rId12">
        <w:r>
          <w:rPr>
            <w:color w:val="1A6B8A"/>
            <w:u w:val="single"/>
          </w:rPr>
          <w:t>FactSet via IBD</w:t>
        </w:r>
      </w:hyperlink>
    </w:p>
    <w:p>
      <w:pPr>
        <w:keepNext/>
        <w:spacing w:before="80" w:after="40" w:line="264" w:lineRule="auto"/>
        <w:jc w:val="center"/>
      </w:pPr>
      <w:r>
        <w:rPr>
          <w:rFonts w:ascii="Times New Roman" w:hAnsi="Times New Roman" w:eastAsia="黑体"/>
          <w:b/>
          <w:i w:val="0"/>
          <w:color w:val="111827"/>
          <w:sz w:val="17"/>
        </w:rPr>
        <w:t>图6 - 经营现金流与资本开支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83480" cy="28055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chart7_cash_flow_capex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805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 w:line="264" w:lineRule="auto"/>
        <w:jc w:val="left"/>
      </w:pPr>
      <w:r>
        <w:rPr>
          <w:rFonts w:ascii="Times New Roman" w:hAnsi="Times New Roman" w:eastAsia="宋体"/>
          <w:b w:val="0"/>
          <w:i/>
          <w:color w:val="6B7280"/>
          <w:sz w:val="15"/>
        </w:rPr>
        <w:t>资料来源：</w:t>
      </w:r>
      <w:hyperlink r:id="rId16">
        <w:r>
          <w:rPr>
            <w:color w:val="1A6B8A"/>
            <w:u w:val="single"/>
          </w:rPr>
          <w:t>管理层准备发言</w:t>
        </w:r>
      </w:hyperlink>
      <w:r>
        <w:rPr>
          <w:rFonts w:ascii="Times New Roman" w:hAnsi="Times New Roman" w:eastAsia="宋体"/>
          <w:b w:val="0"/>
          <w:i/>
          <w:color w:val="6B7280"/>
          <w:sz w:val="15"/>
        </w:rPr>
        <w:t>；</w:t>
      </w:r>
      <w:hyperlink r:id="rId17">
        <w:r>
          <w:rPr>
            <w:color w:val="1A6B8A"/>
            <w:u w:val="single"/>
          </w:rPr>
          <w:t>投资者演示材料</w:t>
        </w:r>
      </w:hyperlink>
    </w:p>
    <w:p>
      <w:r>
        <w:br w:type="page"/>
      </w:r>
    </w:p>
    <w:p>
      <w:pPr>
        <w:spacing w:before="200" w:after="80" w:line="264" w:lineRule="auto"/>
        <w:jc w:val="left"/>
        <w:pBdr>
          <w:bottom w:val="single" w:sz="6" w:space="4" w:color="1A6B8A"/>
        </w:pBdr>
      </w:pPr>
      <w:r>
        <w:rPr>
          <w:rFonts w:ascii="Times New Roman" w:hAnsi="Times New Roman" w:eastAsia="黑体"/>
          <w:b/>
          <w:i w:val="0"/>
          <w:color w:val="1A6B8A"/>
          <w:sz w:val="26"/>
        </w:rPr>
        <w:t>指引与展望</w:t>
      </w:r>
    </w:p>
    <w:p>
      <w:pPr>
        <w:spacing w:before="140" w:after="60" w:line="264" w:lineRule="auto"/>
        <w:jc w:val="left"/>
      </w:pPr>
      <w:r>
        <w:rPr>
          <w:rFonts w:ascii="Times New Roman" w:hAnsi="Times New Roman" w:eastAsia="黑体"/>
          <w:b/>
          <w:i w:val="0"/>
          <w:color w:val="111827"/>
          <w:sz w:val="22"/>
        </w:rPr>
        <w:t>FQ4指引再次抬高市场预期</w:t>
      </w:r>
    </w:p>
    <w:p>
      <w:pPr>
        <w:spacing w:before="0" w:after="100" w:line="264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美光给出FQ4指引：营收500亿美元（上下10亿美元）、Non-GAAP毛利率约86%、Non-GAAP营业费用约16.5亿美元、Non-GAAP EPS 31.00美元（上下1.00美元）。该指引明显高于财报前市场预期的435.8亿美元营收和25.72美元EPS。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016"/>
            <w:shd w:fill="1A6B8A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指标</w:t>
            </w:r>
          </w:p>
        </w:tc>
        <w:tc>
          <w:tcPr>
            <w:tcW w:type="dxa" w:w="2448"/>
            <w:shd w:fill="1A6B8A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美光FQ4指引</w:t>
            </w:r>
          </w:p>
        </w:tc>
        <w:tc>
          <w:tcPr>
            <w:tcW w:type="dxa" w:w="1872"/>
            <w:shd w:fill="1A6B8A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一致预期</w:t>
            </w:r>
          </w:p>
        </w:tc>
        <w:tc>
          <w:tcPr>
            <w:tcW w:type="dxa" w:w="2448"/>
            <w:shd w:fill="1A6B8A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2016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营收</w:t>
            </w:r>
          </w:p>
        </w:tc>
        <w:tc>
          <w:tcPr>
            <w:tcW w:type="dxa" w:w="2448"/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E7D52"/>
                <w:sz w:val="17"/>
              </w:rPr>
              <w:t>$50.0B +/- $1.0B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$43.58B</w:t>
            </w:r>
          </w:p>
        </w:tc>
        <w:tc>
          <w:tcPr>
            <w:tcW w:type="dxa" w:w="2448"/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高于市场约15%</w:t>
            </w:r>
          </w:p>
        </w:tc>
      </w:tr>
      <w:tr>
        <w:tc>
          <w:tcPr>
            <w:tcW w:type="dxa" w:w="2016"/>
            <w:shd w:fill="F3F4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Non-GAAP毛利率</w:t>
            </w:r>
          </w:p>
        </w:tc>
        <w:tc>
          <w:tcPr>
            <w:tcW w:type="dxa" w:w="2448"/>
            <w:shd w:fill="F3F4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约86%</w:t>
            </w:r>
          </w:p>
        </w:tc>
        <w:tc>
          <w:tcPr>
            <w:tcW w:type="dxa" w:w="1872"/>
            <w:shd w:fill="F3F4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N/A</w:t>
            </w:r>
          </w:p>
        </w:tc>
        <w:tc>
          <w:tcPr>
            <w:tcW w:type="dxa" w:w="2448"/>
            <w:shd w:fill="F3F4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E7D52"/>
                <w:sz w:val="17"/>
              </w:rPr>
              <w:t>环比+约110bps</w:t>
            </w:r>
          </w:p>
        </w:tc>
      </w:tr>
      <w:tr>
        <w:tc>
          <w:tcPr>
            <w:tcW w:type="dxa" w:w="2016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Non-GAAP EPS</w:t>
            </w:r>
          </w:p>
        </w:tc>
        <w:tc>
          <w:tcPr>
            <w:tcW w:type="dxa" w:w="2448"/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E7D52"/>
                <w:sz w:val="17"/>
              </w:rPr>
              <w:t>$31.00 +/- $1.00</w:t>
            </w:r>
          </w:p>
        </w:tc>
        <w:tc>
          <w:tcPr>
            <w:tcW w:type="dxa" w:w="1872"/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$25.72</w:t>
            </w:r>
          </w:p>
        </w:tc>
        <w:tc>
          <w:tcPr>
            <w:tcW w:type="dxa" w:w="2448"/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高于市场约21%</w:t>
            </w:r>
          </w:p>
        </w:tc>
      </w:tr>
      <w:tr>
        <w:tc>
          <w:tcPr>
            <w:tcW w:type="dxa" w:w="2016"/>
            <w:shd w:fill="F3F4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净资本开支</w:t>
            </w:r>
          </w:p>
        </w:tc>
        <w:tc>
          <w:tcPr>
            <w:tcW w:type="dxa" w:w="2448"/>
            <w:shd w:fill="F3F4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约$10B</w:t>
            </w:r>
          </w:p>
        </w:tc>
        <w:tc>
          <w:tcPr>
            <w:tcW w:type="dxa" w:w="1872"/>
            <w:shd w:fill="F3F4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N/A</w:t>
            </w:r>
          </w:p>
        </w:tc>
        <w:tc>
          <w:tcPr>
            <w:tcW w:type="dxa" w:w="2448"/>
            <w:shd w:fill="F3F4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FY2026约$27B</w:t>
            </w:r>
          </w:p>
        </w:tc>
      </w:tr>
    </w:tbl>
    <w:p>
      <w:pPr>
        <w:spacing w:before="40" w:after="80" w:line="264" w:lineRule="auto"/>
        <w:jc w:val="left"/>
      </w:pPr>
      <w:r>
        <w:rPr>
          <w:rFonts w:ascii="Times New Roman" w:hAnsi="Times New Roman" w:eastAsia="宋体"/>
          <w:b w:val="0"/>
          <w:i/>
          <w:color w:val="6B7280"/>
          <w:sz w:val="15"/>
        </w:rPr>
        <w:t>资料来源：</w:t>
      </w:r>
      <w:hyperlink r:id="rId11">
        <w:r>
          <w:rPr>
            <w:color w:val="1A6B8A"/>
            <w:u w:val="single"/>
          </w:rPr>
          <w:t>美光业绩公告</w:t>
        </w:r>
      </w:hyperlink>
      <w:r>
        <w:rPr>
          <w:rFonts w:ascii="Times New Roman" w:hAnsi="Times New Roman" w:eastAsia="宋体"/>
          <w:b w:val="0"/>
          <w:i/>
          <w:color w:val="6B7280"/>
          <w:sz w:val="15"/>
        </w:rPr>
        <w:t>；</w:t>
      </w:r>
      <w:hyperlink r:id="rId16">
        <w:r>
          <w:rPr>
            <w:color w:val="1A6B8A"/>
            <w:u w:val="single"/>
          </w:rPr>
          <w:t>管理层准备发言</w:t>
        </w:r>
      </w:hyperlink>
      <w:r>
        <w:rPr>
          <w:rFonts w:ascii="Times New Roman" w:hAnsi="Times New Roman" w:eastAsia="宋体"/>
          <w:b w:val="0"/>
          <w:i/>
          <w:color w:val="6B7280"/>
          <w:sz w:val="15"/>
        </w:rPr>
        <w:t>；</w:t>
      </w:r>
      <w:hyperlink r:id="rId12">
        <w:r>
          <w:rPr>
            <w:color w:val="1A6B8A"/>
            <w:u w:val="single"/>
          </w:rPr>
          <w:t>IBD / FactSet</w:t>
        </w:r>
      </w:hyperlink>
    </w:p>
    <w:p>
      <w:pPr>
        <w:keepNext/>
        <w:spacing w:before="80" w:after="40" w:line="264" w:lineRule="auto"/>
        <w:jc w:val="center"/>
      </w:pPr>
      <w:r>
        <w:rPr>
          <w:rFonts w:ascii="Times New Roman" w:hAnsi="Times New Roman" w:eastAsia="黑体"/>
          <w:b/>
          <w:i w:val="0"/>
          <w:color w:val="111827"/>
          <w:sz w:val="17"/>
        </w:rPr>
        <w:t>图7 - Q4指引 vs. 市场预期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83480" cy="28055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chart9_guidan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805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 w:line="264" w:lineRule="auto"/>
        <w:jc w:val="left"/>
      </w:pPr>
      <w:r>
        <w:rPr>
          <w:rFonts w:ascii="Times New Roman" w:hAnsi="Times New Roman" w:eastAsia="宋体"/>
          <w:b w:val="0"/>
          <w:i/>
          <w:color w:val="6B7280"/>
          <w:sz w:val="15"/>
        </w:rPr>
        <w:t>资料来源：</w:t>
      </w:r>
      <w:hyperlink r:id="rId11">
        <w:r>
          <w:rPr>
            <w:color w:val="1A6B8A"/>
            <w:u w:val="single"/>
          </w:rPr>
          <w:t>美光业绩公告</w:t>
        </w:r>
      </w:hyperlink>
      <w:r>
        <w:rPr>
          <w:rFonts w:ascii="Times New Roman" w:hAnsi="Times New Roman" w:eastAsia="宋体"/>
          <w:b w:val="0"/>
          <w:i/>
          <w:color w:val="6B7280"/>
          <w:sz w:val="15"/>
        </w:rPr>
        <w:t>；</w:t>
      </w:r>
      <w:hyperlink r:id="rId12">
        <w:r>
          <w:rPr>
            <w:color w:val="1A6B8A"/>
            <w:u w:val="single"/>
          </w:rPr>
          <w:t>IBD / FactSet</w:t>
        </w:r>
      </w:hyperlink>
    </w:p>
    <w:p>
      <w:pPr>
        <w:spacing w:before="140" w:after="60" w:line="264" w:lineRule="auto"/>
        <w:jc w:val="left"/>
      </w:pPr>
      <w:r>
        <w:rPr>
          <w:rFonts w:ascii="Times New Roman" w:hAnsi="Times New Roman" w:eastAsia="黑体"/>
          <w:b/>
          <w:i w:val="0"/>
          <w:color w:val="111827"/>
          <w:sz w:val="22"/>
        </w:rPr>
        <w:t>SCA能见度成为新核心变量</w:t>
      </w:r>
    </w:p>
    <w:p>
      <w:pPr>
        <w:spacing w:before="0" w:after="100" w:line="264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本季最重要的定性变化是战略客户协议（SCA）框架。公司已签署16份协议；FQ3末RPO超过50亿美元，计入季后签约后，基于最低采购量和最低价格，RPO约1,000亿美元。公司预计相关现金存款和承诺约220亿美元，其中现金存款约180亿美元。</w:t>
      </w:r>
    </w:p>
    <w:p>
      <w:pPr>
        <w:keepNext/>
        <w:spacing w:before="80" w:after="40" w:line="264" w:lineRule="auto"/>
        <w:jc w:val="center"/>
      </w:pPr>
      <w:r>
        <w:rPr>
          <w:rFonts w:ascii="Times New Roman" w:hAnsi="Times New Roman" w:eastAsia="黑体"/>
          <w:b/>
          <w:i w:val="0"/>
          <w:color w:val="111827"/>
          <w:sz w:val="17"/>
        </w:rPr>
        <w:t>图8 - 战略客户协议带来的收入能见度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83480" cy="280551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chart8_sca_visibilit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805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 w:line="264" w:lineRule="auto"/>
        <w:jc w:val="left"/>
      </w:pPr>
      <w:r>
        <w:rPr>
          <w:rFonts w:ascii="Times New Roman" w:hAnsi="Times New Roman" w:eastAsia="宋体"/>
          <w:b w:val="0"/>
          <w:i/>
          <w:color w:val="6B7280"/>
          <w:sz w:val="15"/>
        </w:rPr>
        <w:t>资料来源：</w:t>
      </w:r>
      <w:hyperlink r:id="rId16">
        <w:r>
          <w:rPr>
            <w:color w:val="1A6B8A"/>
            <w:u w:val="single"/>
          </w:rPr>
          <w:t>管理层准备发言</w:t>
        </w:r>
      </w:hyperlink>
    </w:p>
    <w:p>
      <w:r>
        <w:br w:type="page"/>
      </w:r>
    </w:p>
    <w:p>
      <w:pPr>
        <w:spacing w:before="200" w:after="80" w:line="264" w:lineRule="auto"/>
        <w:jc w:val="left"/>
        <w:pBdr>
          <w:bottom w:val="single" w:sz="6" w:space="4" w:color="1A6B8A"/>
        </w:pBdr>
      </w:pPr>
      <w:r>
        <w:rPr>
          <w:rFonts w:ascii="Times New Roman" w:hAnsi="Times New Roman" w:eastAsia="黑体"/>
          <w:b/>
          <w:i w:val="0"/>
          <w:color w:val="1A6B8A"/>
          <w:sz w:val="26"/>
        </w:rPr>
        <w:t>投资逻辑更新</w:t>
      </w:r>
    </w:p>
    <w:p>
      <w:pPr>
        <w:pStyle w:val="ListBullet"/>
        <w:spacing w:after="80"/>
      </w:pPr>
      <w:r>
        <w:rPr>
          <w:rFonts w:ascii="Times New Roman" w:hAnsi="Times New Roman" w:eastAsia="黑体"/>
          <w:b/>
          <w:i w:val="0"/>
          <w:color w:val="1A6B8A"/>
          <w:sz w:val="21"/>
        </w:rPr>
        <w:t xml:space="preserve">逻辑一：AI存储正在成为战略基础设施。 </w:t>
      </w:r>
      <w:r>
        <w:rPr>
          <w:rFonts w:ascii="Times New Roman" w:hAnsi="Times New Roman" w:eastAsia="宋体"/>
          <w:b w:val="0"/>
          <w:i w:val="0"/>
          <w:sz w:val="21"/>
        </w:rPr>
        <w:t>HBM、先进DRAM和数据中心NAND已不只是周期性零部件，而是AI基础设施的瓶颈资源。</w:t>
      </w:r>
    </w:p>
    <w:p>
      <w:pPr>
        <w:pStyle w:val="ListBullet"/>
        <w:spacing w:after="80"/>
      </w:pPr>
      <w:r>
        <w:rPr>
          <w:rFonts w:ascii="Times New Roman" w:hAnsi="Times New Roman" w:eastAsia="黑体"/>
          <w:b/>
          <w:i w:val="0"/>
          <w:color w:val="1A6B8A"/>
          <w:sz w:val="21"/>
        </w:rPr>
        <w:t xml:space="preserve">逻辑二：合同化需求支持更高估值倍数。 </w:t>
      </w:r>
      <w:r>
        <w:rPr>
          <w:rFonts w:ascii="Times New Roman" w:hAnsi="Times New Roman" w:eastAsia="宋体"/>
          <w:b w:val="0"/>
          <w:i w:val="0"/>
          <w:sz w:val="21"/>
        </w:rPr>
        <w:t>SCA无法完全消除周期性，但最低采购量与最低价格安排能降低未来下行周期深度。</w:t>
      </w:r>
    </w:p>
    <w:p>
      <w:pPr>
        <w:pStyle w:val="ListBullet"/>
        <w:spacing w:after="80"/>
      </w:pPr>
      <w:r>
        <w:rPr>
          <w:rFonts w:ascii="Times New Roman" w:hAnsi="Times New Roman" w:eastAsia="黑体"/>
          <w:b/>
          <w:i w:val="0"/>
          <w:color w:val="1A6B8A"/>
          <w:sz w:val="21"/>
        </w:rPr>
        <w:t xml:space="preserve">逻辑三：供给追赶需要几年，而不是几个季度。 </w:t>
      </w:r>
      <w:r>
        <w:rPr>
          <w:rFonts w:ascii="Times New Roman" w:hAnsi="Times New Roman" w:eastAsia="宋体"/>
          <w:b w:val="0"/>
          <w:i w:val="0"/>
          <w:sz w:val="21"/>
        </w:rPr>
        <w:t>管理层预计DRAM和NAND供需紧张将延续至2027年以后；美国、台湾、新加坡、日本产能建设不会立即释放。</w:t>
      </w:r>
    </w:p>
    <w:p>
      <w:pPr>
        <w:pStyle w:val="ListBullet"/>
        <w:spacing w:after="80"/>
      </w:pPr>
      <w:r>
        <w:rPr>
          <w:rFonts w:ascii="Times New Roman" w:hAnsi="Times New Roman" w:eastAsia="黑体"/>
          <w:b/>
          <w:i w:val="0"/>
          <w:color w:val="1A6B8A"/>
          <w:sz w:val="21"/>
        </w:rPr>
        <w:t xml:space="preserve">逻辑四：资本强度上升，但现金流提升更快。 </w:t>
      </w:r>
      <w:r>
        <w:rPr>
          <w:rFonts w:ascii="Times New Roman" w:hAnsi="Times New Roman" w:eastAsia="宋体"/>
          <w:b w:val="0"/>
          <w:i w:val="0"/>
          <w:sz w:val="21"/>
        </w:rPr>
        <w:t>FY2026资本开支预计约270亿美元，但Q3自由现金流已达183亿美元，且管理层预计FQ4自由现金流继续显著增加。</w:t>
      </w:r>
    </w:p>
    <w:p>
      <w:pPr>
        <w:spacing w:before="140" w:after="60" w:line="264" w:lineRule="auto"/>
        <w:jc w:val="left"/>
      </w:pPr>
      <w:r>
        <w:rPr>
          <w:rFonts w:ascii="Times New Roman" w:hAnsi="Times New Roman" w:eastAsia="黑体"/>
          <w:b/>
          <w:i w:val="0"/>
          <w:color w:val="111827"/>
          <w:sz w:val="22"/>
        </w:rPr>
        <w:t>主要风险</w:t>
      </w:r>
    </w:p>
    <w:p>
      <w:pPr>
        <w:pStyle w:val="ListBullet"/>
        <w:spacing w:after="80"/>
      </w:pPr>
      <w:r>
        <w:rPr>
          <w:rFonts w:ascii="Times New Roman" w:hAnsi="Times New Roman" w:eastAsia="黑体"/>
          <w:b/>
          <w:i w:val="0"/>
          <w:color w:val="C0392B"/>
          <w:sz w:val="21"/>
        </w:rPr>
        <w:t xml:space="preserve">客户行为风险： </w:t>
      </w:r>
      <w:r>
        <w:rPr>
          <w:rFonts w:ascii="Times New Roman" w:hAnsi="Times New Roman" w:eastAsia="宋体"/>
          <w:b w:val="0"/>
          <w:i w:val="0"/>
          <w:sz w:val="21"/>
        </w:rPr>
        <w:t>高存储价格可能促使云厂商、OEM和AI加速器厂商优化内存用量或推迟部署。</w:t>
      </w:r>
    </w:p>
    <w:p>
      <w:pPr>
        <w:pStyle w:val="ListBullet"/>
        <w:spacing w:after="80"/>
      </w:pPr>
      <w:r>
        <w:rPr>
          <w:rFonts w:ascii="Times New Roman" w:hAnsi="Times New Roman" w:eastAsia="黑体"/>
          <w:b/>
          <w:i w:val="0"/>
          <w:color w:val="C0392B"/>
          <w:sz w:val="21"/>
        </w:rPr>
        <w:t xml:space="preserve">周期风险： </w:t>
      </w:r>
      <w:r>
        <w:rPr>
          <w:rFonts w:ascii="Times New Roman" w:hAnsi="Times New Roman" w:eastAsia="宋体"/>
          <w:b w:val="0"/>
          <w:i w:val="0"/>
          <w:sz w:val="21"/>
        </w:rPr>
        <w:t>存储仍是周期行业。如果供给增量快于需求，当前利润率结构可能快速回落。</w:t>
      </w:r>
    </w:p>
    <w:p>
      <w:pPr>
        <w:pStyle w:val="ListBullet"/>
        <w:spacing w:after="80"/>
      </w:pPr>
      <w:r>
        <w:rPr>
          <w:rFonts w:ascii="Times New Roman" w:hAnsi="Times New Roman" w:eastAsia="黑体"/>
          <w:b/>
          <w:i w:val="0"/>
          <w:color w:val="C0392B"/>
          <w:sz w:val="21"/>
        </w:rPr>
        <w:t xml:space="preserve">地缘政治风险： </w:t>
      </w:r>
      <w:r>
        <w:rPr>
          <w:rFonts w:ascii="Times New Roman" w:hAnsi="Times New Roman" w:eastAsia="宋体"/>
          <w:b w:val="0"/>
          <w:i w:val="0"/>
          <w:sz w:val="21"/>
        </w:rPr>
        <w:t>美光全球产能布局和中国相关敞口仍受出口管制、贸易政策和客户限制影响。</w:t>
      </w:r>
    </w:p>
    <w:p>
      <w:pPr>
        <w:pStyle w:val="ListBullet"/>
        <w:spacing w:after="80"/>
      </w:pPr>
      <w:r>
        <w:rPr>
          <w:rFonts w:ascii="Times New Roman" w:hAnsi="Times New Roman" w:eastAsia="黑体"/>
          <w:b/>
          <w:i w:val="0"/>
          <w:color w:val="C0392B"/>
          <w:sz w:val="21"/>
        </w:rPr>
        <w:t xml:space="preserve">估值风险： </w:t>
      </w:r>
      <w:r>
        <w:rPr>
          <w:rFonts w:ascii="Times New Roman" w:hAnsi="Times New Roman" w:eastAsia="宋体"/>
          <w:b w:val="0"/>
          <w:i w:val="0"/>
          <w:sz w:val="21"/>
        </w:rPr>
        <w:t>股价大涨后，市场已经反映了一段较长时间的超常盈利。</w:t>
      </w:r>
    </w:p>
    <w:p>
      <w:r>
        <w:br w:type="page"/>
      </w:r>
    </w:p>
    <w:p>
      <w:pPr>
        <w:spacing w:before="200" w:after="80" w:line="264" w:lineRule="auto"/>
        <w:jc w:val="left"/>
        <w:pBdr>
          <w:bottom w:val="single" w:sz="6" w:space="4" w:color="1A6B8A"/>
        </w:pBdr>
      </w:pPr>
      <w:r>
        <w:rPr>
          <w:rFonts w:ascii="Times New Roman" w:hAnsi="Times New Roman" w:eastAsia="黑体"/>
          <w:b/>
          <w:i w:val="0"/>
          <w:color w:val="1A6B8A"/>
          <w:sz w:val="26"/>
        </w:rPr>
        <w:t>估值与盈利预测更新</w:t>
      </w:r>
    </w:p>
    <w:p>
      <w:pPr>
        <w:spacing w:before="140" w:after="60" w:line="264" w:lineRule="auto"/>
        <w:jc w:val="left"/>
      </w:pPr>
      <w:r>
        <w:rPr>
          <w:rFonts w:ascii="Times New Roman" w:hAnsi="Times New Roman" w:eastAsia="黑体"/>
          <w:b/>
          <w:i w:val="0"/>
          <w:color w:val="111827"/>
          <w:sz w:val="22"/>
        </w:rPr>
        <w:t>更新后的模型</w:t>
      </w:r>
    </w:p>
    <w:p>
      <w:pPr>
        <w:spacing w:before="0" w:after="100" w:line="264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我们显著上调FY2026和FY2027预测。FY2026前三季度Non-GAAP EPS已累计约42.09美元，FQ4指引意味着全年Non-GAAP EPS约73美元。此前模型假设价格更快正常化；更新模型则假设供给紧张延续至2027年，符合管理层表述。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2376"/>
            <w:shd w:fill="1A6B8A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指标</w:t>
            </w:r>
          </w:p>
        </w:tc>
        <w:tc>
          <w:tcPr>
            <w:tcW w:type="dxa" w:w="1728"/>
            <w:shd w:fill="1A6B8A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旧FY2026E</w:t>
            </w:r>
          </w:p>
        </w:tc>
        <w:tc>
          <w:tcPr>
            <w:tcW w:type="dxa" w:w="1728"/>
            <w:shd w:fill="1A6B8A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新FY2026E</w:t>
            </w:r>
          </w:p>
        </w:tc>
        <w:tc>
          <w:tcPr>
            <w:tcW w:type="dxa" w:w="1440"/>
            <w:shd w:fill="1A6B8A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变化</w:t>
            </w:r>
          </w:p>
        </w:tc>
        <w:tc>
          <w:tcPr>
            <w:tcW w:type="dxa" w:w="1584"/>
            <w:shd w:fill="1A6B8A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FY2027E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营收（十亿美元）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112.0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129.0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E7D52"/>
                <w:sz w:val="17"/>
              </w:rPr>
              <w:t>+15%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175.0</w:t>
            </w:r>
          </w:p>
        </w:tc>
      </w:tr>
      <w:tr>
        <w:tc>
          <w:tcPr>
            <w:tcW w:type="dxa" w:w="2376"/>
            <w:shd w:fill="F3F4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毛利率</w:t>
            </w:r>
          </w:p>
        </w:tc>
        <w:tc>
          <w:tcPr>
            <w:tcW w:type="dxa" w:w="1728"/>
            <w:shd w:fill="F3F4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78.0</w:t>
            </w:r>
          </w:p>
        </w:tc>
        <w:tc>
          <w:tcPr>
            <w:tcW w:type="dxa" w:w="1728"/>
            <w:shd w:fill="F3F4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80.5</w:t>
            </w:r>
          </w:p>
        </w:tc>
        <w:tc>
          <w:tcPr>
            <w:tcW w:type="dxa" w:w="1440"/>
            <w:shd w:fill="F3F4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E7D52"/>
                <w:sz w:val="17"/>
              </w:rPr>
              <w:t>+3%</w:t>
            </w:r>
          </w:p>
        </w:tc>
        <w:tc>
          <w:tcPr>
            <w:tcW w:type="dxa" w:w="1584"/>
            <w:shd w:fill="F3F4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82.0</w:t>
            </w:r>
          </w:p>
        </w:tc>
      </w:tr>
      <w:tr>
        <w:tc>
          <w:tcPr>
            <w:tcW w:type="dxa" w:w="2376"/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Non-GAAP EPS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60.0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73.1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E7D52"/>
                <w:sz w:val="17"/>
              </w:rPr>
              <w:t>+22%</w:t>
            </w:r>
          </w:p>
        </w:tc>
        <w:tc>
          <w:tcPr>
            <w:tcW w:type="dxa" w:w="1584"/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115.0</w:t>
            </w:r>
          </w:p>
        </w:tc>
      </w:tr>
      <w:tr>
        <w:tc>
          <w:tcPr>
            <w:tcW w:type="dxa" w:w="2376"/>
            <w:shd w:fill="F3F4F6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自由现金流（十亿美元）</w:t>
            </w:r>
          </w:p>
        </w:tc>
        <w:tc>
          <w:tcPr>
            <w:tcW w:type="dxa" w:w="1728"/>
            <w:shd w:fill="F3F4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42.0</w:t>
            </w:r>
          </w:p>
        </w:tc>
        <w:tc>
          <w:tcPr>
            <w:tcW w:type="dxa" w:w="1728"/>
            <w:shd w:fill="F3F4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55.0</w:t>
            </w:r>
          </w:p>
        </w:tc>
        <w:tc>
          <w:tcPr>
            <w:tcW w:type="dxa" w:w="1440"/>
            <w:shd w:fill="F3F4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E7D52"/>
                <w:sz w:val="17"/>
              </w:rPr>
              <w:t>+31%</w:t>
            </w:r>
          </w:p>
        </w:tc>
        <w:tc>
          <w:tcPr>
            <w:tcW w:type="dxa" w:w="1584"/>
            <w:shd w:fill="F3F4F6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75.0</w:t>
            </w:r>
          </w:p>
        </w:tc>
      </w:tr>
    </w:tbl>
    <w:p>
      <w:pPr>
        <w:spacing w:before="40" w:after="80" w:line="264" w:lineRule="auto"/>
        <w:jc w:val="left"/>
      </w:pPr>
      <w:r>
        <w:rPr>
          <w:rFonts w:ascii="Times New Roman" w:hAnsi="Times New Roman" w:eastAsia="宋体"/>
          <w:b w:val="0"/>
          <w:i/>
          <w:color w:val="6B7280"/>
          <w:sz w:val="15"/>
        </w:rPr>
        <w:t>资料来源：</w:t>
      </w:r>
      <w:hyperlink r:id="rId14">
        <w:r>
          <w:rPr>
            <w:color w:val="1A6B8A"/>
            <w:u w:val="single"/>
          </w:rPr>
          <w:t>公司文件</w:t>
        </w:r>
      </w:hyperlink>
      <w:r>
        <w:rPr>
          <w:rFonts w:ascii="Times New Roman" w:hAnsi="Times New Roman" w:eastAsia="宋体"/>
          <w:b w:val="0"/>
          <w:i/>
          <w:color w:val="6B7280"/>
          <w:sz w:val="15"/>
        </w:rPr>
        <w:t>；</w:t>
      </w:r>
      <w:hyperlink r:id="rId16">
        <w:r>
          <w:rPr>
            <w:color w:val="1A6B8A"/>
            <w:u w:val="single"/>
          </w:rPr>
          <w:t>美光管理层准备发言</w:t>
        </w:r>
      </w:hyperlink>
      <w:r>
        <w:rPr>
          <w:rFonts w:ascii="Times New Roman" w:hAnsi="Times New Roman" w:eastAsia="宋体"/>
          <w:b w:val="0"/>
          <w:i/>
          <w:color w:val="6B7280"/>
          <w:sz w:val="15"/>
        </w:rPr>
        <w:t>；</w:t>
      </w:r>
      <w:hyperlink r:id="rId24">
        <w:r>
          <w:rPr>
            <w:color w:val="1A6B8A"/>
            <w:u w:val="single"/>
          </w:rPr>
          <w:t>Codex分析</w:t>
        </w:r>
      </w:hyperlink>
    </w:p>
    <w:p>
      <w:pPr>
        <w:keepNext/>
        <w:spacing w:before="80" w:after="40" w:line="264" w:lineRule="auto"/>
        <w:jc w:val="center"/>
      </w:pPr>
      <w:r>
        <w:rPr>
          <w:rFonts w:ascii="Times New Roman" w:hAnsi="Times New Roman" w:eastAsia="黑体"/>
          <w:b/>
          <w:i w:val="0"/>
          <w:color w:val="111827"/>
          <w:sz w:val="17"/>
        </w:rPr>
        <w:t>图9 - 盈利预测修订与目标价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83480" cy="280551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chart10_estimates_valua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805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 w:line="264" w:lineRule="auto"/>
        <w:jc w:val="left"/>
      </w:pPr>
      <w:r>
        <w:rPr>
          <w:rFonts w:ascii="Times New Roman" w:hAnsi="Times New Roman" w:eastAsia="宋体"/>
          <w:b w:val="0"/>
          <w:i/>
          <w:color w:val="6B7280"/>
          <w:sz w:val="15"/>
        </w:rPr>
        <w:t>资料来源：</w:t>
      </w:r>
      <w:hyperlink r:id="rId14">
        <w:r>
          <w:rPr>
            <w:color w:val="1A6B8A"/>
            <w:u w:val="single"/>
          </w:rPr>
          <w:t>公司文件</w:t>
        </w:r>
      </w:hyperlink>
      <w:r>
        <w:rPr>
          <w:rFonts w:ascii="Times New Roman" w:hAnsi="Times New Roman" w:eastAsia="宋体"/>
          <w:b w:val="0"/>
          <w:i/>
          <w:color w:val="6B7280"/>
          <w:sz w:val="15"/>
        </w:rPr>
        <w:t>；</w:t>
      </w:r>
      <w:hyperlink r:id="rId24">
        <w:r>
          <w:rPr>
            <w:color w:val="1A6B8A"/>
            <w:u w:val="single"/>
          </w:rPr>
          <w:t>Codex分析</w:t>
        </w:r>
      </w:hyperlink>
    </w:p>
    <w:p>
      <w:pPr>
        <w:spacing w:before="140" w:after="60" w:line="264" w:lineRule="auto"/>
        <w:jc w:val="left"/>
      </w:pPr>
      <w:r>
        <w:rPr>
          <w:rFonts w:ascii="Times New Roman" w:hAnsi="Times New Roman" w:eastAsia="黑体"/>
          <w:b/>
          <w:i w:val="0"/>
          <w:color w:val="111827"/>
          <w:sz w:val="22"/>
        </w:rPr>
        <w:t>目标价方法</w:t>
      </w:r>
    </w:p>
    <w:p>
      <w:pPr>
        <w:spacing w:before="0" w:after="100" w:line="264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将示意性目标价从1,250美元上调至1,600美元。该目标价约对应FY2027E Non-GAAP EPS 115美元的13.9倍。相较普通商品存储周期倍数更高，但SCA能见度、净现金能力改善和AI存储含量结构性提升提供支持。相对6月30日收盘价1,154.29美元，隐含上行空间约39%。</w:t>
      </w:r>
    </w:p>
    <w:p>
      <w:pPr>
        <w:spacing w:before="0" w:after="100" w:line="264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若出现以下情形，我们将重新评估评级：（1）SCA现金存款与RPO转化不及预期；（2）Q4毛利率明显低于86%指引；（3）行业供需从“2027年以后仍紧张”转为“2027年内正常化”。</w:t>
      </w:r>
    </w:p>
    <w:p>
      <w:pPr>
        <w:keepNext/>
        <w:spacing w:before="80" w:after="40" w:line="264" w:lineRule="auto"/>
        <w:jc w:val="center"/>
      </w:pPr>
      <w:r>
        <w:rPr>
          <w:rFonts w:ascii="Times New Roman" w:hAnsi="Times New Roman" w:eastAsia="黑体"/>
          <w:b/>
          <w:i w:val="0"/>
          <w:color w:val="111827"/>
          <w:sz w:val="17"/>
        </w:rPr>
        <w:t>图10 - 核心指标超预期摘要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83480" cy="280551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chart6_beat_mis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805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 w:line="264" w:lineRule="auto"/>
        <w:jc w:val="left"/>
      </w:pPr>
      <w:r>
        <w:rPr>
          <w:rFonts w:ascii="Times New Roman" w:hAnsi="Times New Roman" w:eastAsia="宋体"/>
          <w:b w:val="0"/>
          <w:i/>
          <w:color w:val="6B7280"/>
          <w:sz w:val="15"/>
        </w:rPr>
        <w:t>资料来源：</w:t>
      </w:r>
      <w:hyperlink r:id="rId11">
        <w:r>
          <w:rPr>
            <w:color w:val="1A6B8A"/>
            <w:u w:val="single"/>
          </w:rPr>
          <w:t>美光业绩公告</w:t>
        </w:r>
      </w:hyperlink>
      <w:r>
        <w:rPr>
          <w:rFonts w:ascii="Times New Roman" w:hAnsi="Times New Roman" w:eastAsia="宋体"/>
          <w:b w:val="0"/>
          <w:i/>
          <w:color w:val="6B7280"/>
          <w:sz w:val="15"/>
        </w:rPr>
        <w:t>；</w:t>
      </w:r>
      <w:hyperlink r:id="rId12">
        <w:r>
          <w:rPr>
            <w:color w:val="1A6B8A"/>
            <w:u w:val="single"/>
          </w:rPr>
          <w:t>IBD / FactSet</w:t>
        </w:r>
      </w:hyperlink>
    </w:p>
    <w:p>
      <w:r>
        <w:br w:type="page"/>
      </w:r>
    </w:p>
    <w:p>
      <w:pPr>
        <w:spacing w:before="200" w:after="80" w:line="264" w:lineRule="auto"/>
        <w:jc w:val="left"/>
        <w:pBdr>
          <w:bottom w:val="single" w:sz="6" w:space="4" w:color="1A6B8A"/>
        </w:pBdr>
      </w:pPr>
      <w:r>
        <w:rPr>
          <w:rFonts w:ascii="Times New Roman" w:hAnsi="Times New Roman" w:eastAsia="黑体"/>
          <w:b/>
          <w:i w:val="0"/>
          <w:color w:val="1A6B8A"/>
          <w:sz w:val="26"/>
        </w:rPr>
        <w:t>资料来源与参考文献</w:t>
      </w:r>
    </w:p>
    <w:p>
      <w:pPr>
        <w:spacing w:before="0" w:after="100" w:line="264" w:lineRule="auto"/>
        <w:jc w:val="left"/>
      </w:pPr>
      <w:r>
        <w:rPr>
          <w:rFonts w:ascii="Times New Roman" w:hAnsi="Times New Roman" w:eastAsia="黑体"/>
          <w:b/>
          <w:i w:val="0"/>
          <w:color w:val="111827"/>
          <w:sz w:val="19"/>
        </w:rPr>
        <w:t>最新一期验证：今天为2026年7月1日；最新财报发布日期为June 24, 2026；10-Q备案日为June 25, 2026。该财报处于最近三个月内，所有材料均指向FY2026财年第三季度，季度截止日为2026年5月28日。</w:t>
      </w:r>
    </w:p>
    <w:p>
      <w:pPr>
        <w:spacing w:before="0" w:after="60" w:line="264" w:lineRule="auto"/>
        <w:jc w:val="left"/>
      </w:pPr>
      <w:r>
        <w:rPr>
          <w:rFonts w:ascii="Times New Roman" w:hAnsi="Times New Roman" w:eastAsia="宋体"/>
          <w:b w:val="0"/>
          <w:i w:val="0"/>
          <w:sz w:val="18"/>
        </w:rPr>
        <w:t xml:space="preserve">- </w:t>
      </w:r>
      <w:hyperlink r:id="rId11">
        <w:r>
          <w:rPr>
            <w:color w:val="1A6B8A"/>
            <w:u w:val="single"/>
          </w:rPr>
          <w:t>美光FY2026Q3业绩公告</w:t>
        </w:r>
      </w:hyperlink>
    </w:p>
    <w:p>
      <w:pPr>
        <w:spacing w:before="0" w:after="60" w:line="264" w:lineRule="auto"/>
        <w:jc w:val="left"/>
      </w:pPr>
      <w:r>
        <w:rPr>
          <w:rFonts w:ascii="Times New Roman" w:hAnsi="Times New Roman" w:eastAsia="宋体"/>
          <w:b w:val="0"/>
          <w:i w:val="0"/>
          <w:sz w:val="18"/>
        </w:rPr>
        <w:t xml:space="preserve">- </w:t>
      </w:r>
      <w:hyperlink r:id="rId17">
        <w:r>
          <w:rPr>
            <w:color w:val="1A6B8A"/>
            <w:u w:val="single"/>
          </w:rPr>
          <w:t>美光FY2026Q3投资者演示材料</w:t>
        </w:r>
      </w:hyperlink>
    </w:p>
    <w:p>
      <w:pPr>
        <w:spacing w:before="0" w:after="60" w:line="264" w:lineRule="auto"/>
        <w:jc w:val="left"/>
      </w:pPr>
      <w:r>
        <w:rPr>
          <w:rFonts w:ascii="Times New Roman" w:hAnsi="Times New Roman" w:eastAsia="宋体"/>
          <w:b w:val="0"/>
          <w:i w:val="0"/>
          <w:sz w:val="18"/>
        </w:rPr>
        <w:t xml:space="preserve">- </w:t>
      </w:r>
      <w:hyperlink r:id="rId16">
        <w:r>
          <w:rPr>
            <w:color w:val="1A6B8A"/>
            <w:u w:val="single"/>
          </w:rPr>
          <w:t>美光FY2026Q3管理层准备发言/电话会材料</w:t>
        </w:r>
      </w:hyperlink>
    </w:p>
    <w:p>
      <w:pPr>
        <w:spacing w:before="0" w:after="60" w:line="264" w:lineRule="auto"/>
        <w:jc w:val="left"/>
      </w:pPr>
      <w:r>
        <w:rPr>
          <w:rFonts w:ascii="Times New Roman" w:hAnsi="Times New Roman" w:eastAsia="宋体"/>
          <w:b w:val="0"/>
          <w:i w:val="0"/>
          <w:sz w:val="18"/>
        </w:rPr>
        <w:t xml:space="preserve">- </w:t>
      </w:r>
      <w:hyperlink r:id="rId14">
        <w:r>
          <w:rPr>
            <w:color w:val="1A6B8A"/>
            <w:u w:val="single"/>
          </w:rPr>
          <w:t>美光FY2026Q3 Form 10-Q</w:t>
        </w:r>
      </w:hyperlink>
    </w:p>
    <w:p>
      <w:pPr>
        <w:spacing w:before="0" w:after="60" w:line="264" w:lineRule="auto"/>
        <w:jc w:val="left"/>
      </w:pPr>
      <w:r>
        <w:rPr>
          <w:rFonts w:ascii="Times New Roman" w:hAnsi="Times New Roman" w:eastAsia="宋体"/>
          <w:b w:val="0"/>
          <w:i w:val="0"/>
          <w:sz w:val="18"/>
        </w:rPr>
        <w:t xml:space="preserve">- </w:t>
      </w:r>
      <w:hyperlink r:id="rId24">
        <w:r>
          <w:rPr>
            <w:color w:val="1A6B8A"/>
            <w:u w:val="single"/>
          </w:rPr>
          <w:t>美光季度业绩页面</w:t>
        </w:r>
      </w:hyperlink>
    </w:p>
    <w:p>
      <w:pPr>
        <w:spacing w:before="0" w:after="60" w:line="264" w:lineRule="auto"/>
        <w:jc w:val="left"/>
      </w:pPr>
      <w:r>
        <w:rPr>
          <w:rFonts w:ascii="Times New Roman" w:hAnsi="Times New Roman" w:eastAsia="宋体"/>
          <w:b w:val="0"/>
          <w:i w:val="0"/>
          <w:sz w:val="18"/>
        </w:rPr>
        <w:t xml:space="preserve">- </w:t>
      </w:r>
      <w:hyperlink r:id="rId12">
        <w:r>
          <w:rPr>
            <w:color w:val="1A6B8A"/>
            <w:u w:val="single"/>
          </w:rPr>
          <w:t>Investor's Business Daily / FactSet一致预期</w:t>
        </w:r>
      </w:hyperlink>
    </w:p>
    <w:p>
      <w:pPr>
        <w:spacing w:before="0" w:after="60" w:line="264" w:lineRule="auto"/>
        <w:jc w:val="left"/>
      </w:pPr>
      <w:r>
        <w:rPr>
          <w:rFonts w:ascii="Times New Roman" w:hAnsi="Times New Roman" w:eastAsia="宋体"/>
          <w:b w:val="0"/>
          <w:i w:val="0"/>
          <w:sz w:val="18"/>
        </w:rPr>
        <w:t xml:space="preserve">- </w:t>
      </w:r>
      <w:hyperlink r:id="rId27">
        <w:r>
          <w:rPr>
            <w:color w:val="1A6B8A"/>
            <w:u w:val="single"/>
          </w:rPr>
          <w:t>Investopedia / Visible Alpha一致预期</w:t>
        </w:r>
      </w:hyperlink>
    </w:p>
    <w:p>
      <w:pPr>
        <w:spacing w:before="0" w:after="100" w:line="264" w:lineRule="auto"/>
        <w:jc w:val="left"/>
      </w:pPr>
      <w:r>
        <w:rPr>
          <w:rFonts w:ascii="Times New Roman" w:hAnsi="Times New Roman" w:eastAsia="宋体"/>
          <w:b w:val="0"/>
          <w:i/>
          <w:color w:val="6B7280"/>
          <w:sz w:val="18"/>
        </w:rPr>
        <w:t>一致预期：FactSet consensus cited by Investor's Business Daily, June 24, 2026；另以Investopedia / Visible Alpha进行交叉校验。</w:t>
      </w:r>
    </w:p>
    <w:p>
      <w:pPr>
        <w:spacing w:before="0" w:after="100" w:line="264" w:lineRule="auto"/>
        <w:jc w:val="left"/>
      </w:pPr>
      <w:r>
        <w:rPr>
          <w:rFonts w:ascii="Times New Roman" w:hAnsi="Times New Roman" w:eastAsia="宋体"/>
          <w:b w:val="0"/>
          <w:i/>
          <w:color w:val="6B7280"/>
          <w:sz w:val="18"/>
        </w:rPr>
        <w:t>补充一致预期交叉校验：</w:t>
      </w:r>
      <w:hyperlink r:id="rId27">
        <w:r>
          <w:rPr>
            <w:color w:val="1A6B8A"/>
            <w:u w:val="single"/>
          </w:rPr>
          <w:t>Investopedia / Visible Alpha</w:t>
        </w:r>
      </w:hyperlink>
    </w:p>
    <w:p>
      <w:pPr>
        <w:spacing w:before="0" w:after="100" w:line="264" w:lineRule="auto"/>
        <w:jc w:val="left"/>
      </w:pPr>
      <w:r>
        <w:rPr>
          <w:rFonts w:ascii="Times New Roman" w:hAnsi="Times New Roman" w:eastAsia="宋体"/>
          <w:b w:val="0"/>
          <w:i/>
          <w:color w:val="6B7280"/>
          <w:sz w:val="17"/>
        </w:rPr>
        <w:t>免责声明：本报告仅供参考，不构成投资建议或买卖证券建议。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6B7280"/>
        <w:sz w:val="16"/>
      </w:rPr>
      <w:t>仅供参考，不构成投资建议。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i w:val="0"/>
        <w:color w:val="6B7280"/>
        <w:sz w:val="16"/>
      </w:rPr>
      <w:t>美光科技（MU）| FY2026Q3 业绩更新报告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investors.micron.com/news-releases/news-release-details/micron-technology-inc-reports-record-results-third-quarter" TargetMode="External"/><Relationship Id="rId12" Type="http://schemas.openxmlformats.org/officeDocument/2006/relationships/hyperlink" Target="https://www.investors.com/news/technology/micron-stock-mu-fiscal-q3-2026-earnings/" TargetMode="External"/><Relationship Id="rId13" Type="http://schemas.openxmlformats.org/officeDocument/2006/relationships/image" Target="media/image1.png"/><Relationship Id="rId14" Type="http://schemas.openxmlformats.org/officeDocument/2006/relationships/hyperlink" Target="https://investors.micron.com/sec-filings/sec-filing/10-q/0000723125-26-000015" TargetMode="External"/><Relationship Id="rId15" Type="http://schemas.openxmlformats.org/officeDocument/2006/relationships/image" Target="media/image2.png"/><Relationship Id="rId16" Type="http://schemas.openxmlformats.org/officeDocument/2006/relationships/hyperlink" Target="https://investors.micron.com/static-files/631b1a32-5537-46ae-8f40-82e42fc79dfe" TargetMode="External"/><Relationship Id="rId17" Type="http://schemas.openxmlformats.org/officeDocument/2006/relationships/hyperlink" Target="https://investors.micron.com/static-files/2354ecda-77a0-4ddd-8462-a631eb491356" TargetMode="External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hyperlink" Target="https://investors.micron.com/quarterly-results" TargetMode="External"/><Relationship Id="rId25" Type="http://schemas.openxmlformats.org/officeDocument/2006/relationships/image" Target="media/image9.png"/><Relationship Id="rId26" Type="http://schemas.openxmlformats.org/officeDocument/2006/relationships/image" Target="media/image10.png"/><Relationship Id="rId27" Type="http://schemas.openxmlformats.org/officeDocument/2006/relationships/hyperlink" Target="https://www.investopedia.com/micron-earnings-q3-fy2026-memory-stock-soars-ai-demand-1200609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