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center"/>
      </w:pPr>
      <w:r>
        <w:rPr>
          <w:rFonts w:ascii="Times New Roman" w:hAnsi="Times New Roman"/>
          <w:b w:val="0"/>
          <w:i w:val="0"/>
          <w:color w:val="6B7280"/>
          <w:sz w:val="18"/>
        </w:rPr>
        <w:t>EQUITY RESEARCH - EARNINGS UPDATE</w:t>
      </w:r>
    </w:p>
    <w:p>
      <w:pPr>
        <w:spacing w:before="0" w:after="40" w:line="264" w:lineRule="auto"/>
        <w:jc w:val="center"/>
      </w:pPr>
      <w:r>
        <w:rPr>
          <w:rFonts w:ascii="Times New Roman" w:hAnsi="Times New Roman"/>
          <w:b/>
          <w:i w:val="0"/>
          <w:color w:val="1A6B8A"/>
          <w:sz w:val="38"/>
        </w:rPr>
        <w:t>MICRON TECHNOLOGY, INC. (NASDAQ: MU)</w:t>
      </w:r>
    </w:p>
    <w:p>
      <w:pPr>
        <w:spacing w:before="0" w:after="80" w:line="264" w:lineRule="auto"/>
        <w:jc w:val="center"/>
      </w:pPr>
      <w:r>
        <w:rPr>
          <w:rFonts w:ascii="Times New Roman" w:hAnsi="Times New Roman"/>
          <w:b w:val="0"/>
          <w:i/>
          <w:color w:val="111827"/>
          <w:sz w:val="24"/>
        </w:rPr>
        <w:t>Q3 FY2026: Record Quarter, SCA Visibility, and Another Beat-and-Raise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512"/>
            <w:shd w:fill="1A6B8A"/>
            <w:vAlign w:val="center"/>
          </w:tcPr>
          <w:p>
            <w:pPr>
              <w:spacing w:after="0"/>
              <w:jc w:val="center"/>
            </w:pPr>
            <w:r>
              <w:rPr>
                <w:rFonts w:ascii="Times New Roman" w:hAnsi="Times New Roman"/>
                <w:b/>
                <w:i w:val="0"/>
                <w:color w:val="FFFFFF"/>
                <w:sz w:val="17"/>
              </w:rPr>
              <w:t>Rating</w:t>
            </w:r>
          </w:p>
        </w:tc>
        <w:tc>
          <w:tcPr>
            <w:tcW w:type="dxa" w:w="1728"/>
            <w:shd w:fill="1A6B8A"/>
            <w:vAlign w:val="center"/>
          </w:tcPr>
          <w:p>
            <w:pPr>
              <w:spacing w:after="0"/>
              <w:jc w:val="center"/>
            </w:pPr>
            <w:r>
              <w:rPr>
                <w:rFonts w:ascii="Times New Roman" w:hAnsi="Times New Roman"/>
                <w:b/>
                <w:i w:val="0"/>
                <w:color w:val="FFFFFF"/>
                <w:sz w:val="17"/>
              </w:rPr>
              <w:t>Price Target</w:t>
            </w:r>
          </w:p>
        </w:tc>
        <w:tc>
          <w:tcPr>
            <w:tcW w:type="dxa" w:w="1800"/>
            <w:shd w:fill="1A6B8A"/>
            <w:vAlign w:val="center"/>
          </w:tcPr>
          <w:p>
            <w:pPr>
              <w:spacing w:after="0"/>
              <w:jc w:val="center"/>
            </w:pPr>
            <w:r>
              <w:rPr>
                <w:rFonts w:ascii="Times New Roman" w:hAnsi="Times New Roman"/>
                <w:b/>
                <w:i w:val="0"/>
                <w:color w:val="FFFFFF"/>
                <w:sz w:val="17"/>
              </w:rPr>
              <w:t>Current Price</w:t>
            </w:r>
          </w:p>
        </w:tc>
        <w:tc>
          <w:tcPr>
            <w:tcW w:type="dxa" w:w="1800"/>
            <w:shd w:fill="1A6B8A"/>
            <w:vAlign w:val="center"/>
          </w:tcPr>
          <w:p>
            <w:pPr>
              <w:spacing w:after="0"/>
              <w:jc w:val="center"/>
            </w:pPr>
            <w:r>
              <w:rPr>
                <w:rFonts w:ascii="Times New Roman" w:hAnsi="Times New Roman"/>
                <w:b/>
                <w:i w:val="0"/>
                <w:color w:val="FFFFFF"/>
                <w:sz w:val="17"/>
              </w:rPr>
              <w:t>Market Cap</w:t>
            </w:r>
          </w:p>
        </w:tc>
        <w:tc>
          <w:tcPr>
            <w:tcW w:type="dxa" w:w="1800"/>
            <w:shd w:fill="1A6B8A"/>
            <w:vAlign w:val="center"/>
          </w:tcPr>
          <w:p>
            <w:pPr>
              <w:spacing w:after="0"/>
              <w:jc w:val="center"/>
            </w:pPr>
            <w:r>
              <w:rPr>
                <w:rFonts w:ascii="Times New Roman" w:hAnsi="Times New Roman"/>
                <w:b/>
                <w:i w:val="0"/>
                <w:color w:val="FFFFFF"/>
                <w:sz w:val="17"/>
              </w:rPr>
              <w:t>Report Date</w:t>
            </w:r>
          </w:p>
        </w:tc>
      </w:tr>
      <w:tr>
        <w:tc>
          <w:tcPr>
            <w:tcW w:type="dxa" w:w="1512"/>
            <w:shd w:fill="FFFFFF"/>
            <w:vAlign w:val="center"/>
            <w:shd w:fill="EAF4FA"/>
          </w:tcPr>
          <w:p>
            <w:pPr>
              <w:spacing w:after="0"/>
              <w:jc w:val="left"/>
            </w:pPr>
            <w:r>
              <w:rPr>
                <w:rFonts w:ascii="Times New Roman" w:hAnsi="Times New Roman"/>
                <w:b w:val="0"/>
                <w:i w:val="0"/>
                <w:color w:val="2E7D52"/>
                <w:sz w:val="17"/>
              </w:rPr>
              <w:t>BUY / OW</w:t>
            </w:r>
          </w:p>
        </w:tc>
        <w:tc>
          <w:tcPr>
            <w:tcW w:type="dxa" w:w="1728"/>
            <w:shd w:fill="FFFFFF"/>
            <w:vAlign w:val="center"/>
            <w:shd w:fill="EAF4FA"/>
          </w:tcPr>
          <w:p>
            <w:pPr>
              <w:spacing w:after="0"/>
              <w:jc w:val="center"/>
            </w:pPr>
            <w:r>
              <w:rPr>
                <w:rFonts w:ascii="Times New Roman" w:hAnsi="Times New Roman"/>
                <w:b w:val="0"/>
                <w:i w:val="0"/>
                <w:sz w:val="17"/>
              </w:rPr>
              <w:t>$1,600</w:t>
            </w:r>
          </w:p>
        </w:tc>
        <w:tc>
          <w:tcPr>
            <w:tcW w:type="dxa" w:w="1800"/>
            <w:shd w:fill="FFFFFF"/>
            <w:vAlign w:val="center"/>
            <w:shd w:fill="EAF4FA"/>
          </w:tcPr>
          <w:p>
            <w:pPr>
              <w:spacing w:after="0"/>
              <w:jc w:val="center"/>
            </w:pPr>
            <w:r>
              <w:rPr>
                <w:rFonts w:ascii="Times New Roman" w:hAnsi="Times New Roman"/>
                <w:b w:val="0"/>
                <w:i w:val="0"/>
                <w:sz w:val="17"/>
              </w:rPr>
              <w:t>$1,154.29</w:t>
            </w:r>
          </w:p>
        </w:tc>
        <w:tc>
          <w:tcPr>
            <w:tcW w:type="dxa" w:w="1800"/>
            <w:shd w:fill="FFFFFF"/>
            <w:vAlign w:val="center"/>
            <w:shd w:fill="EAF4FA"/>
          </w:tcPr>
          <w:p>
            <w:pPr>
              <w:spacing w:after="0"/>
              <w:jc w:val="center"/>
            </w:pPr>
            <w:r>
              <w:rPr>
                <w:rFonts w:ascii="Times New Roman" w:hAnsi="Times New Roman"/>
                <w:b w:val="0"/>
                <w:i w:val="0"/>
                <w:sz w:val="17"/>
              </w:rPr>
              <w:t>~$1.30T</w:t>
            </w:r>
          </w:p>
        </w:tc>
        <w:tc>
          <w:tcPr>
            <w:tcW w:type="dxa" w:w="1800"/>
            <w:shd w:fill="FFFFFF"/>
            <w:vAlign w:val="center"/>
            <w:shd w:fill="EAF4FA"/>
          </w:tcPr>
          <w:p>
            <w:pPr>
              <w:spacing w:after="0"/>
              <w:jc w:val="center"/>
            </w:pPr>
            <w:r>
              <w:rPr>
                <w:rFonts w:ascii="Times New Roman" w:hAnsi="Times New Roman"/>
                <w:b w:val="0"/>
                <w:i w:val="0"/>
                <w:sz w:val="17"/>
              </w:rPr>
              <w:t>July 1, 2026</w:t>
            </w:r>
          </w:p>
        </w:tc>
      </w:tr>
    </w:tbl>
    <w:p>
      <w:pPr>
        <w:spacing w:before="0" w:after="80" w:line="264" w:lineRule="auto"/>
        <w:jc w:val="left"/>
      </w:pPr>
      <w:r>
        <w:rPr>
          <w:rFonts w:ascii="Times New Roman" w:hAnsi="Times New Roman"/>
          <w:b w:val="0"/>
          <w:i/>
          <w:color w:val="6B7280"/>
          <w:sz w:val="15"/>
        </w:rPr>
        <w:t>Market data: Longbridge CLI quote MU.US, pulled July 1, 2026 16:24 CST. yfinance was unavailable in the local runtime; price data was pulled dynamically via Longbridge.</w:t>
      </w:r>
    </w:p>
    <w:p>
      <w:pPr>
        <w:spacing w:before="200" w:after="80" w:line="264" w:lineRule="auto"/>
        <w:jc w:val="left"/>
        <w:pBdr>
          <w:bottom w:val="single" w:sz="6" w:space="4" w:color="1A6B8A"/>
        </w:pBdr>
      </w:pPr>
      <w:r>
        <w:rPr>
          <w:rFonts w:ascii="Times New Roman" w:hAnsi="Times New Roman"/>
          <w:b/>
          <w:i w:val="0"/>
          <w:color w:val="1A6B8A"/>
          <w:sz w:val="26"/>
        </w:rPr>
        <w:t>EARNINGS SUMMARY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872"/>
            <w:shd w:fill="1A6B8A"/>
            <w:vAlign w:val="center"/>
          </w:tcPr>
          <w:p>
            <w:pPr>
              <w:spacing w:after="0"/>
              <w:jc w:val="center"/>
            </w:pPr>
            <w:r>
              <w:rPr>
                <w:rFonts w:ascii="Times New Roman" w:hAnsi="Times New Roman"/>
                <w:b/>
                <w:i w:val="0"/>
                <w:color w:val="FFFFFF"/>
                <w:sz w:val="17"/>
              </w:rPr>
              <w:t>Metric</w:t>
            </w:r>
          </w:p>
        </w:tc>
        <w:tc>
          <w:tcPr>
            <w:tcW w:type="dxa" w:w="2016"/>
            <w:shd w:fill="1A6B8A"/>
            <w:vAlign w:val="center"/>
          </w:tcPr>
          <w:p>
            <w:pPr>
              <w:spacing w:after="0"/>
              <w:jc w:val="center"/>
            </w:pPr>
            <w:r>
              <w:rPr>
                <w:rFonts w:ascii="Times New Roman" w:hAnsi="Times New Roman"/>
                <w:b/>
                <w:i w:val="0"/>
                <w:color w:val="FFFFFF"/>
                <w:sz w:val="17"/>
              </w:rPr>
              <w:t>Reported / Guide</w:t>
            </w:r>
          </w:p>
        </w:tc>
        <w:tc>
          <w:tcPr>
            <w:tcW w:type="dxa" w:w="1800"/>
            <w:shd w:fill="1A6B8A"/>
            <w:vAlign w:val="center"/>
          </w:tcPr>
          <w:p>
            <w:pPr>
              <w:spacing w:after="0"/>
              <w:jc w:val="center"/>
            </w:pPr>
            <w:r>
              <w:rPr>
                <w:rFonts w:ascii="Times New Roman" w:hAnsi="Times New Roman"/>
                <w:b/>
                <w:i w:val="0"/>
                <w:color w:val="FFFFFF"/>
                <w:sz w:val="17"/>
              </w:rPr>
              <w:t>Consensus</w:t>
            </w:r>
          </w:p>
        </w:tc>
        <w:tc>
          <w:tcPr>
            <w:tcW w:type="dxa" w:w="2520"/>
            <w:shd w:fill="1A6B8A"/>
            <w:vAlign w:val="center"/>
          </w:tcPr>
          <w:p>
            <w:pPr>
              <w:spacing w:after="0"/>
              <w:jc w:val="center"/>
            </w:pPr>
            <w:r>
              <w:rPr>
                <w:rFonts w:ascii="Times New Roman" w:hAnsi="Times New Roman"/>
                <w:b/>
                <w:i w:val="0"/>
                <w:color w:val="FFFFFF"/>
                <w:sz w:val="17"/>
              </w:rPr>
              <w:t>Variance</w:t>
            </w:r>
          </w:p>
        </w:tc>
        <w:tc>
          <w:tcPr>
            <w:tcW w:type="dxa" w:w="1728"/>
            <w:shd w:fill="1A6B8A"/>
            <w:vAlign w:val="center"/>
          </w:tcPr>
          <w:p>
            <w:pPr>
              <w:spacing w:after="0"/>
              <w:jc w:val="center"/>
            </w:pPr>
            <w:r>
              <w:rPr>
                <w:rFonts w:ascii="Times New Roman" w:hAnsi="Times New Roman"/>
                <w:b/>
                <w:i w:val="0"/>
                <w:color w:val="FFFFFF"/>
                <w:sz w:val="17"/>
              </w:rPr>
              <w:t>YoY</w:t>
            </w:r>
          </w:p>
        </w:tc>
      </w:tr>
      <w:tr>
        <w:tc>
          <w:tcPr>
            <w:tcW w:type="dxa" w:w="1872"/>
            <w:shd w:fill="FFFFFF"/>
            <w:vAlign w:val="center"/>
          </w:tcPr>
          <w:p>
            <w:pPr>
              <w:spacing w:after="0"/>
              <w:jc w:val="left"/>
            </w:pPr>
            <w:r>
              <w:rPr>
                <w:rFonts w:ascii="Times New Roman" w:hAnsi="Times New Roman"/>
                <w:b w:val="0"/>
                <w:i w:val="0"/>
                <w:sz w:val="17"/>
              </w:rPr>
              <w:t>Revenue</w:t>
            </w:r>
          </w:p>
        </w:tc>
        <w:tc>
          <w:tcPr>
            <w:tcW w:type="dxa" w:w="2016"/>
            <w:shd w:fill="FFFFFF"/>
            <w:vAlign w:val="center"/>
          </w:tcPr>
          <w:p>
            <w:pPr>
              <w:spacing w:after="0"/>
              <w:jc w:val="center"/>
            </w:pPr>
            <w:r>
              <w:rPr>
                <w:rFonts w:ascii="Times New Roman" w:hAnsi="Times New Roman"/>
                <w:b w:val="0"/>
                <w:i w:val="0"/>
                <w:sz w:val="17"/>
              </w:rPr>
              <w:t>$41.46B</w:t>
            </w:r>
          </w:p>
        </w:tc>
        <w:tc>
          <w:tcPr>
            <w:tcW w:type="dxa" w:w="1800"/>
            <w:shd w:fill="FFFFFF"/>
            <w:vAlign w:val="center"/>
          </w:tcPr>
          <w:p>
            <w:pPr>
              <w:spacing w:after="0"/>
              <w:jc w:val="center"/>
            </w:pPr>
            <w:r>
              <w:rPr>
                <w:rFonts w:ascii="Times New Roman" w:hAnsi="Times New Roman"/>
                <w:b w:val="0"/>
                <w:i w:val="0"/>
                <w:sz w:val="17"/>
              </w:rPr>
              <w:t>$35.91B</w:t>
            </w:r>
          </w:p>
        </w:tc>
        <w:tc>
          <w:tcPr>
            <w:tcW w:type="dxa" w:w="2520"/>
            <w:shd w:fill="FFFFFF"/>
            <w:vAlign w:val="center"/>
          </w:tcPr>
          <w:p>
            <w:pPr>
              <w:spacing w:after="0"/>
              <w:jc w:val="center"/>
            </w:pPr>
            <w:r>
              <w:rPr>
                <w:rFonts w:ascii="Times New Roman" w:hAnsi="Times New Roman"/>
                <w:b w:val="0"/>
                <w:i w:val="0"/>
                <w:color w:val="2E7D52"/>
                <w:sz w:val="17"/>
              </w:rPr>
              <w:t>Beat +$5.55B (+15.4%)</w:t>
            </w:r>
          </w:p>
        </w:tc>
        <w:tc>
          <w:tcPr>
            <w:tcW w:type="dxa" w:w="1728"/>
            <w:shd w:fill="FFFFFF"/>
            <w:vAlign w:val="center"/>
          </w:tcPr>
          <w:p>
            <w:pPr>
              <w:spacing w:after="0"/>
              <w:jc w:val="center"/>
            </w:pPr>
            <w:r>
              <w:rPr>
                <w:rFonts w:ascii="Times New Roman" w:hAnsi="Times New Roman"/>
                <w:b w:val="0"/>
                <w:i w:val="0"/>
                <w:color w:val="2E7D52"/>
                <w:sz w:val="17"/>
              </w:rPr>
              <w:t>+346%</w:t>
            </w:r>
          </w:p>
        </w:tc>
      </w:tr>
      <w:tr>
        <w:tc>
          <w:tcPr>
            <w:tcW w:type="dxa" w:w="1872"/>
            <w:shd w:fill="F3F4F6"/>
            <w:vAlign w:val="center"/>
          </w:tcPr>
          <w:p>
            <w:pPr>
              <w:spacing w:after="0"/>
              <w:jc w:val="left"/>
            </w:pPr>
            <w:r>
              <w:rPr>
                <w:rFonts w:ascii="Times New Roman" w:hAnsi="Times New Roman"/>
                <w:b w:val="0"/>
                <w:i w:val="0"/>
                <w:sz w:val="17"/>
              </w:rPr>
              <w:t>Non-GAAP EPS</w:t>
            </w:r>
          </w:p>
        </w:tc>
        <w:tc>
          <w:tcPr>
            <w:tcW w:type="dxa" w:w="2016"/>
            <w:shd w:fill="F3F4F6"/>
            <w:vAlign w:val="center"/>
          </w:tcPr>
          <w:p>
            <w:pPr>
              <w:spacing w:after="0"/>
              <w:jc w:val="center"/>
            </w:pPr>
            <w:r>
              <w:rPr>
                <w:rFonts w:ascii="Times New Roman" w:hAnsi="Times New Roman"/>
                <w:b w:val="0"/>
                <w:i w:val="0"/>
                <w:sz w:val="17"/>
              </w:rPr>
              <w:t>$25.11</w:t>
            </w:r>
          </w:p>
        </w:tc>
        <w:tc>
          <w:tcPr>
            <w:tcW w:type="dxa" w:w="1800"/>
            <w:shd w:fill="F3F4F6"/>
            <w:vAlign w:val="center"/>
          </w:tcPr>
          <w:p>
            <w:pPr>
              <w:spacing w:after="0"/>
              <w:jc w:val="center"/>
            </w:pPr>
            <w:r>
              <w:rPr>
                <w:rFonts w:ascii="Times New Roman" w:hAnsi="Times New Roman"/>
                <w:b w:val="0"/>
                <w:i w:val="0"/>
                <w:sz w:val="17"/>
              </w:rPr>
              <w:t>$20.86</w:t>
            </w:r>
          </w:p>
        </w:tc>
        <w:tc>
          <w:tcPr>
            <w:tcW w:type="dxa" w:w="2520"/>
            <w:shd w:fill="F3F4F6"/>
            <w:vAlign w:val="center"/>
          </w:tcPr>
          <w:p>
            <w:pPr>
              <w:spacing w:after="0"/>
              <w:jc w:val="center"/>
            </w:pPr>
            <w:r>
              <w:rPr>
                <w:rFonts w:ascii="Times New Roman" w:hAnsi="Times New Roman"/>
                <w:b w:val="0"/>
                <w:i w:val="0"/>
                <w:color w:val="2E7D52"/>
                <w:sz w:val="17"/>
              </w:rPr>
              <w:t>Beat +$4.25 (+20.4%)</w:t>
            </w:r>
          </w:p>
        </w:tc>
        <w:tc>
          <w:tcPr>
            <w:tcW w:type="dxa" w:w="1728"/>
            <w:shd w:fill="F3F4F6"/>
            <w:vAlign w:val="center"/>
          </w:tcPr>
          <w:p>
            <w:pPr>
              <w:spacing w:after="0"/>
              <w:jc w:val="center"/>
            </w:pPr>
            <w:r>
              <w:rPr>
                <w:rFonts w:ascii="Times New Roman" w:hAnsi="Times New Roman"/>
                <w:b w:val="0"/>
                <w:i w:val="0"/>
                <w:color w:val="2E7D52"/>
                <w:sz w:val="17"/>
              </w:rPr>
              <w:t>+1,215%</w:t>
            </w:r>
          </w:p>
        </w:tc>
      </w:tr>
      <w:tr>
        <w:tc>
          <w:tcPr>
            <w:tcW w:type="dxa" w:w="1872"/>
            <w:shd w:fill="FFFFFF"/>
            <w:vAlign w:val="center"/>
          </w:tcPr>
          <w:p>
            <w:pPr>
              <w:spacing w:after="0"/>
              <w:jc w:val="left"/>
            </w:pPr>
            <w:r>
              <w:rPr>
                <w:rFonts w:ascii="Times New Roman" w:hAnsi="Times New Roman"/>
                <w:b w:val="0"/>
                <w:i w:val="0"/>
                <w:sz w:val="17"/>
              </w:rPr>
              <w:t>Non-GAAP Gross Margin</w:t>
            </w:r>
          </w:p>
        </w:tc>
        <w:tc>
          <w:tcPr>
            <w:tcW w:type="dxa" w:w="2016"/>
            <w:shd w:fill="FFFFFF"/>
            <w:vAlign w:val="center"/>
          </w:tcPr>
          <w:p>
            <w:pPr>
              <w:spacing w:after="0"/>
              <w:jc w:val="center"/>
            </w:pPr>
            <w:r>
              <w:rPr>
                <w:rFonts w:ascii="Times New Roman" w:hAnsi="Times New Roman"/>
                <w:b w:val="0"/>
                <w:i w:val="0"/>
                <w:sz w:val="17"/>
              </w:rPr>
              <w:t>84.9%</w:t>
            </w:r>
          </w:p>
        </w:tc>
        <w:tc>
          <w:tcPr>
            <w:tcW w:type="dxa" w:w="1800"/>
            <w:shd w:fill="FFFFFF"/>
            <w:vAlign w:val="center"/>
          </w:tcPr>
          <w:p>
            <w:pPr>
              <w:spacing w:after="0"/>
              <w:jc w:val="center"/>
            </w:pPr>
            <w:r>
              <w:rPr>
                <w:rFonts w:ascii="Times New Roman" w:hAnsi="Times New Roman"/>
                <w:b w:val="0"/>
                <w:i w:val="0"/>
                <w:sz w:val="17"/>
              </w:rPr>
              <w:t>N/A</w:t>
            </w:r>
          </w:p>
        </w:tc>
        <w:tc>
          <w:tcPr>
            <w:tcW w:type="dxa" w:w="2520"/>
            <w:shd w:fill="FFFFFF"/>
            <w:vAlign w:val="center"/>
          </w:tcPr>
          <w:p>
            <w:pPr>
              <w:spacing w:after="0"/>
              <w:jc w:val="center"/>
            </w:pPr>
            <w:r>
              <w:rPr>
                <w:rFonts w:ascii="Times New Roman" w:hAnsi="Times New Roman"/>
                <w:b w:val="0"/>
                <w:i w:val="0"/>
                <w:sz w:val="17"/>
              </w:rPr>
              <w:t>Company record</w:t>
            </w:r>
          </w:p>
        </w:tc>
        <w:tc>
          <w:tcPr>
            <w:tcW w:type="dxa" w:w="1728"/>
            <w:shd w:fill="FFFFFF"/>
            <w:vAlign w:val="center"/>
          </w:tcPr>
          <w:p>
            <w:pPr>
              <w:spacing w:after="0"/>
              <w:jc w:val="center"/>
            </w:pPr>
            <w:r>
              <w:rPr>
                <w:rFonts w:ascii="Times New Roman" w:hAnsi="Times New Roman"/>
                <w:b w:val="0"/>
                <w:i w:val="0"/>
                <w:color w:val="2E7D52"/>
                <w:sz w:val="17"/>
              </w:rPr>
              <w:t>+45.9pp</w:t>
            </w:r>
          </w:p>
        </w:tc>
      </w:tr>
      <w:tr>
        <w:tc>
          <w:tcPr>
            <w:tcW w:type="dxa" w:w="1872"/>
            <w:shd w:fill="F3F4F6"/>
            <w:vAlign w:val="center"/>
          </w:tcPr>
          <w:p>
            <w:pPr>
              <w:spacing w:after="0"/>
              <w:jc w:val="left"/>
            </w:pPr>
            <w:r>
              <w:rPr>
                <w:rFonts w:ascii="Times New Roman" w:hAnsi="Times New Roman"/>
                <w:b w:val="0"/>
                <w:i w:val="0"/>
                <w:sz w:val="17"/>
              </w:rPr>
              <w:t>Operating Cash Flow</w:t>
            </w:r>
          </w:p>
        </w:tc>
        <w:tc>
          <w:tcPr>
            <w:tcW w:type="dxa" w:w="2016"/>
            <w:shd w:fill="F3F4F6"/>
            <w:vAlign w:val="center"/>
          </w:tcPr>
          <w:p>
            <w:pPr>
              <w:spacing w:after="0"/>
              <w:jc w:val="center"/>
            </w:pPr>
            <w:r>
              <w:rPr>
                <w:rFonts w:ascii="Times New Roman" w:hAnsi="Times New Roman"/>
                <w:b w:val="0"/>
                <w:i w:val="0"/>
                <w:sz w:val="17"/>
              </w:rPr>
              <w:t>$25.39B</w:t>
            </w:r>
          </w:p>
        </w:tc>
        <w:tc>
          <w:tcPr>
            <w:tcW w:type="dxa" w:w="1800"/>
            <w:shd w:fill="F3F4F6"/>
            <w:vAlign w:val="center"/>
          </w:tcPr>
          <w:p>
            <w:pPr>
              <w:spacing w:after="0"/>
              <w:jc w:val="center"/>
            </w:pPr>
            <w:r>
              <w:rPr>
                <w:rFonts w:ascii="Times New Roman" w:hAnsi="Times New Roman"/>
                <w:b w:val="0"/>
                <w:i w:val="0"/>
                <w:sz w:val="17"/>
              </w:rPr>
              <w:t>N/A</w:t>
            </w:r>
          </w:p>
        </w:tc>
        <w:tc>
          <w:tcPr>
            <w:tcW w:type="dxa" w:w="2520"/>
            <w:shd w:fill="F3F4F6"/>
            <w:vAlign w:val="center"/>
          </w:tcPr>
          <w:p>
            <w:pPr>
              <w:spacing w:after="0"/>
              <w:jc w:val="center"/>
            </w:pPr>
            <w:r>
              <w:rPr>
                <w:rFonts w:ascii="Times New Roman" w:hAnsi="Times New Roman"/>
                <w:b w:val="0"/>
                <w:i w:val="0"/>
                <w:sz w:val="17"/>
              </w:rPr>
              <w:t>Record cash generation</w:t>
            </w:r>
          </w:p>
        </w:tc>
        <w:tc>
          <w:tcPr>
            <w:tcW w:type="dxa" w:w="1728"/>
            <w:shd w:fill="F3F4F6"/>
            <w:vAlign w:val="center"/>
          </w:tcPr>
          <w:p>
            <w:pPr>
              <w:spacing w:after="0"/>
              <w:jc w:val="center"/>
            </w:pPr>
            <w:r>
              <w:rPr>
                <w:rFonts w:ascii="Times New Roman" w:hAnsi="Times New Roman"/>
                <w:b w:val="0"/>
                <w:i w:val="0"/>
                <w:color w:val="2E7D52"/>
                <w:sz w:val="17"/>
              </w:rPr>
              <w:t>+451%</w:t>
            </w:r>
          </w:p>
        </w:tc>
      </w:tr>
      <w:tr>
        <w:tc>
          <w:tcPr>
            <w:tcW w:type="dxa" w:w="1872"/>
            <w:shd w:fill="FFFFFF"/>
            <w:vAlign w:val="center"/>
          </w:tcPr>
          <w:p>
            <w:pPr>
              <w:spacing w:after="0"/>
              <w:jc w:val="left"/>
            </w:pPr>
            <w:r>
              <w:rPr>
                <w:rFonts w:ascii="Times New Roman" w:hAnsi="Times New Roman"/>
                <w:b w:val="0"/>
                <w:i w:val="0"/>
                <w:sz w:val="17"/>
              </w:rPr>
              <w:t>FQ4 Revenue Guide</w:t>
            </w:r>
          </w:p>
        </w:tc>
        <w:tc>
          <w:tcPr>
            <w:tcW w:type="dxa" w:w="2016"/>
            <w:shd w:fill="FFFFFF"/>
            <w:vAlign w:val="center"/>
          </w:tcPr>
          <w:p>
            <w:pPr>
              <w:spacing w:after="0"/>
              <w:jc w:val="center"/>
            </w:pPr>
            <w:r>
              <w:rPr>
                <w:rFonts w:ascii="Times New Roman" w:hAnsi="Times New Roman"/>
                <w:b w:val="0"/>
                <w:i w:val="0"/>
                <w:color w:val="2E7D52"/>
                <w:sz w:val="17"/>
              </w:rPr>
              <w:t>$50.0B +/- $1.0B</w:t>
            </w:r>
          </w:p>
        </w:tc>
        <w:tc>
          <w:tcPr>
            <w:tcW w:type="dxa" w:w="1800"/>
            <w:shd w:fill="FFFFFF"/>
            <w:vAlign w:val="center"/>
          </w:tcPr>
          <w:p>
            <w:pPr>
              <w:spacing w:after="0"/>
              <w:jc w:val="center"/>
            </w:pPr>
            <w:r>
              <w:rPr>
                <w:rFonts w:ascii="Times New Roman" w:hAnsi="Times New Roman"/>
                <w:b w:val="0"/>
                <w:i w:val="0"/>
                <w:sz w:val="17"/>
              </w:rPr>
              <w:t>$43.58B</w:t>
            </w:r>
          </w:p>
        </w:tc>
        <w:tc>
          <w:tcPr>
            <w:tcW w:type="dxa" w:w="2520"/>
            <w:shd w:fill="FFFFFF"/>
            <w:vAlign w:val="center"/>
          </w:tcPr>
          <w:p>
            <w:pPr>
              <w:spacing w:after="0"/>
              <w:jc w:val="center"/>
            </w:pPr>
            <w:r>
              <w:rPr>
                <w:rFonts w:ascii="Times New Roman" w:hAnsi="Times New Roman"/>
                <w:b w:val="0"/>
                <w:i w:val="0"/>
                <w:color w:val="2E7D52"/>
                <w:sz w:val="17"/>
              </w:rPr>
              <w:t>Guide +15% vs. Street</w:t>
            </w:r>
          </w:p>
        </w:tc>
        <w:tc>
          <w:tcPr>
            <w:tcW w:type="dxa" w:w="1728"/>
            <w:shd w:fill="FFFFFF"/>
            <w:vAlign w:val="center"/>
          </w:tcPr>
          <w:p>
            <w:pPr>
              <w:spacing w:after="0"/>
              <w:jc w:val="center"/>
            </w:pPr>
            <w:r>
              <w:rPr>
                <w:rFonts w:ascii="Times New Roman" w:hAnsi="Times New Roman"/>
                <w:b w:val="0"/>
                <w:i w:val="0"/>
                <w:color w:val="2E7D52"/>
                <w:sz w:val="17"/>
              </w:rPr>
              <w:t>+342% implied YoY</w:t>
            </w:r>
          </w:p>
        </w:tc>
      </w:tr>
    </w:tbl>
    <w:p>
      <w:pPr>
        <w:spacing w:before="40" w:after="80" w:line="264" w:lineRule="auto"/>
        <w:jc w:val="left"/>
      </w:pPr>
      <w:r>
        <w:rPr>
          <w:rFonts w:ascii="Times New Roman" w:hAnsi="Times New Roman"/>
          <w:b w:val="0"/>
          <w:i/>
          <w:color w:val="6B7280"/>
          <w:sz w:val="15"/>
        </w:rPr>
        <w:t xml:space="preserve">Source: </w:t>
      </w:r>
      <w:hyperlink r:id="rId11">
        <w:r>
          <w:rPr>
            <w:color w:val="1A6B8A"/>
            <w:u w:val="single"/>
          </w:rPr>
          <w:t>Micron earnings release</w:t>
        </w:r>
      </w:hyperlink>
      <w:r>
        <w:rPr>
          <w:rFonts w:ascii="Times New Roman" w:hAnsi="Times New Roman"/>
          <w:b w:val="0"/>
          <w:i/>
          <w:color w:val="6B7280"/>
          <w:sz w:val="15"/>
        </w:rPr>
        <w:t xml:space="preserve">; </w:t>
      </w:r>
      <w:hyperlink r:id="rId12">
        <w:r>
          <w:rPr>
            <w:color w:val="1A6B8A"/>
            <w:u w:val="single"/>
          </w:rPr>
          <w:t>IBD / FactSet consensus</w:t>
        </w:r>
      </w:hyperlink>
    </w:p>
    <w:p>
      <w:pPr>
        <w:pStyle w:val="ListBullet"/>
        <w:spacing w:after="80"/>
      </w:pPr>
      <w:r>
        <w:rPr>
          <w:rFonts w:ascii="Times New Roman" w:hAnsi="Times New Roman"/>
          <w:b/>
          <w:i w:val="0"/>
          <w:color w:val="1A6B8A"/>
          <w:sz w:val="21"/>
        </w:rPr>
        <w:t xml:space="preserve">Top-line beat was large and clean. </w:t>
      </w:r>
      <w:r>
        <w:rPr>
          <w:rFonts w:ascii="Times New Roman" w:hAnsi="Times New Roman"/>
          <w:b w:val="0"/>
          <w:i w:val="0"/>
          <w:sz w:val="21"/>
        </w:rPr>
        <w:t>Revenue of $41.46B was $5.55B above FactSet consensus and rose 74% sequentially, with DRAM and NAND both setting records.</w:t>
      </w:r>
    </w:p>
    <w:p>
      <w:pPr>
        <w:pStyle w:val="ListBullet"/>
        <w:spacing w:after="80"/>
      </w:pPr>
      <w:r>
        <w:rPr>
          <w:rFonts w:ascii="Times New Roman" w:hAnsi="Times New Roman"/>
          <w:b/>
          <w:i w:val="0"/>
          <w:color w:val="1A6B8A"/>
          <w:sz w:val="21"/>
        </w:rPr>
        <w:t xml:space="preserve">Margins changed the valuation conversation. </w:t>
      </w:r>
      <w:r>
        <w:rPr>
          <w:rFonts w:ascii="Times New Roman" w:hAnsi="Times New Roman"/>
          <w:b w:val="0"/>
          <w:i w:val="0"/>
          <w:sz w:val="21"/>
        </w:rPr>
        <w:t>Non-GAAP gross margin reached 84.9% and operating margin reached 81.2%, levels that suggest the current memory shortage is not a normal cycle.</w:t>
      </w:r>
    </w:p>
    <w:p>
      <w:pPr>
        <w:pStyle w:val="ListBullet"/>
        <w:spacing w:after="80"/>
      </w:pPr>
      <w:r>
        <w:rPr>
          <w:rFonts w:ascii="Times New Roman" w:hAnsi="Times New Roman"/>
          <w:b/>
          <w:i w:val="0"/>
          <w:color w:val="1A6B8A"/>
          <w:sz w:val="21"/>
        </w:rPr>
        <w:t xml:space="preserve">Strategic Customer Agreements reduce historical cyclicality. </w:t>
      </w:r>
      <w:r>
        <w:rPr>
          <w:rFonts w:ascii="Times New Roman" w:hAnsi="Times New Roman"/>
          <w:b w:val="0"/>
          <w:i w:val="0"/>
          <w:sz w:val="21"/>
        </w:rPr>
        <w:t>Micron has signed 16 SCAs; signed-agreement RPO is approximately $100B, with $22B of expected cash deposits and related commitments.</w:t>
      </w:r>
    </w:p>
    <w:p>
      <w:pPr>
        <w:pStyle w:val="ListBullet"/>
        <w:spacing w:after="80"/>
      </w:pPr>
      <w:r>
        <w:rPr>
          <w:rFonts w:ascii="Times New Roman" w:hAnsi="Times New Roman"/>
          <w:b/>
          <w:i w:val="0"/>
          <w:color w:val="1A6B8A"/>
          <w:sz w:val="21"/>
        </w:rPr>
        <w:t xml:space="preserve">Maintaining BUY; raising price target to $1,600. </w:t>
      </w:r>
      <w:r>
        <w:rPr>
          <w:rFonts w:ascii="Times New Roman" w:hAnsi="Times New Roman"/>
          <w:b w:val="0"/>
          <w:i w:val="0"/>
          <w:sz w:val="21"/>
        </w:rPr>
        <w:t>Our target reflects higher FY2026/FY2027 EPS, improved revenue visibility, and a higher warranted multiple for a more contracted memory model.</w:t>
      </w:r>
    </w:p>
    <w:p>
      <w:r>
        <w:br w:type="page"/>
      </w:r>
    </w:p>
    <w:p>
      <w:pPr>
        <w:spacing w:before="200" w:after="80" w:line="264" w:lineRule="auto"/>
        <w:jc w:val="left"/>
        <w:pBdr>
          <w:bottom w:val="single" w:sz="6" w:space="4" w:color="1A6B8A"/>
        </w:pBdr>
      </w:pPr>
      <w:r>
        <w:rPr>
          <w:rFonts w:ascii="Times New Roman" w:hAnsi="Times New Roman"/>
          <w:b/>
          <w:i w:val="0"/>
          <w:color w:val="1A6B8A"/>
          <w:sz w:val="26"/>
        </w:rPr>
        <w:t>DETAILED RESULTS ANALYSIS</w:t>
      </w:r>
    </w:p>
    <w:p>
      <w:pPr>
        <w:spacing w:before="140" w:after="60" w:line="264" w:lineRule="auto"/>
        <w:jc w:val="left"/>
      </w:pPr>
      <w:r>
        <w:rPr>
          <w:rFonts w:ascii="Times New Roman" w:hAnsi="Times New Roman"/>
          <w:b/>
          <w:i w:val="0"/>
          <w:color w:val="111827"/>
          <w:sz w:val="22"/>
        </w:rPr>
        <w:t>Revenue: record scale and accelerating sequential growth</w:t>
      </w:r>
    </w:p>
    <w:p>
      <w:pPr>
        <w:spacing w:before="0" w:after="100" w:line="264" w:lineRule="auto"/>
        <w:jc w:val="left"/>
      </w:pPr>
      <w:r>
        <w:rPr>
          <w:rFonts w:ascii="Times New Roman" w:hAnsi="Times New Roman"/>
          <w:b w:val="0"/>
          <w:i w:val="0"/>
          <w:sz w:val="21"/>
        </w:rPr>
        <w:t>Micron reported fiscal Q3 revenue of $41.46B for the quarter ended May 28, 2026, up 346% YoY and 74% QoQ. The beat was driven by a severe demand/supply imbalance across both DRAM and NAND, a richer AI-driven mix, and pricing that moved far faster than investors had modeled. The $5.55B revenue beat vs. FactSet was not a rounding issue: it was equivalent to more than half of the revenue Micron generated in the same quarter a year ago.</w:t>
      </w:r>
    </w:p>
    <w:p>
      <w:pPr>
        <w:keepNext/>
        <w:spacing w:before="80" w:after="40" w:line="264" w:lineRule="auto"/>
        <w:jc w:val="center"/>
      </w:pPr>
      <w:r>
        <w:rPr>
          <w:rFonts w:ascii="Times New Roman" w:hAnsi="Times New Roman"/>
          <w:b/>
          <w:i w:val="0"/>
          <w:color w:val="111827"/>
          <w:sz w:val="17"/>
        </w:rPr>
        <w:t>Figure 1 - Quarterly revenue progression</w:t>
      </w:r>
    </w:p>
    <w:p>
      <w:pPr>
        <w:keepNext/>
        <w:jc w:val="center"/>
      </w:pPr>
      <w:r>
        <w:drawing>
          <wp:inline xmlns:a="http://schemas.openxmlformats.org/drawingml/2006/main" xmlns:pic="http://schemas.openxmlformats.org/drawingml/2006/picture">
            <wp:extent cx="5349240" cy="3011424"/>
            <wp:docPr id="1" name="Picture 1"/>
            <wp:cNvGraphicFramePr>
              <a:graphicFrameLocks noChangeAspect="1"/>
            </wp:cNvGraphicFramePr>
            <a:graphic>
              <a:graphicData uri="http://schemas.openxmlformats.org/drawingml/2006/picture">
                <pic:pic>
                  <pic:nvPicPr>
                    <pic:cNvPr id="0" name="mu_chart1_revenue.png"/>
                    <pic:cNvPicPr/>
                  </pic:nvPicPr>
                  <pic:blipFill>
                    <a:blip r:embed="rId13"/>
                    <a:stretch>
                      <a:fillRect/>
                    </a:stretch>
                  </pic:blipFill>
                  <pic:spPr>
                    <a:xfrm>
                      <a:off x="0" y="0"/>
                      <a:ext cx="5349240" cy="3011424"/>
                    </a:xfrm>
                    <a:prstGeom prst="rect"/>
                  </pic:spPr>
                </pic:pic>
              </a:graphicData>
            </a:graphic>
          </wp:inline>
        </w:drawing>
      </w:r>
    </w:p>
    <w:p>
      <w:pPr>
        <w:spacing w:before="40" w:after="80" w:line="264" w:lineRule="auto"/>
        <w:jc w:val="left"/>
      </w:pPr>
      <w:r>
        <w:rPr>
          <w:rFonts w:ascii="Times New Roman" w:hAnsi="Times New Roman"/>
          <w:b w:val="0"/>
          <w:i/>
          <w:color w:val="6B7280"/>
          <w:sz w:val="15"/>
        </w:rPr>
        <w:t xml:space="preserve">Source: </w:t>
      </w:r>
      <w:hyperlink r:id="rId11">
        <w:r>
          <w:rPr>
            <w:color w:val="1A6B8A"/>
            <w:u w:val="single"/>
          </w:rPr>
          <w:t>Micron earnings release</w:t>
        </w:r>
      </w:hyperlink>
      <w:r>
        <w:rPr>
          <w:rFonts w:ascii="Times New Roman" w:hAnsi="Times New Roman"/>
          <w:b w:val="0"/>
          <w:i/>
          <w:color w:val="6B7280"/>
          <w:sz w:val="15"/>
        </w:rPr>
        <w:t xml:space="preserve">; </w:t>
      </w:r>
      <w:hyperlink r:id="rId14">
        <w:r>
          <w:rPr>
            <w:color w:val="1A6B8A"/>
            <w:u w:val="single"/>
          </w:rPr>
          <w:t>Form 10-Q</w:t>
        </w:r>
      </w:hyperlink>
      <w:r>
        <w:rPr>
          <w:rFonts w:ascii="Times New Roman" w:hAnsi="Times New Roman"/>
          <w:b w:val="0"/>
          <w:i/>
          <w:color w:val="6B7280"/>
          <w:sz w:val="15"/>
        </w:rPr>
        <w:t xml:space="preserve">; </w:t>
      </w:r>
      <w:hyperlink r:id="rId12">
        <w:r>
          <w:rPr>
            <w:color w:val="1A6B8A"/>
            <w:u w:val="single"/>
          </w:rPr>
          <w:t>FactSet via IBD</w:t>
        </w:r>
      </w:hyperlink>
    </w:p>
    <w:p>
      <w:pPr>
        <w:spacing w:before="140" w:after="60" w:line="264" w:lineRule="auto"/>
        <w:jc w:val="left"/>
      </w:pPr>
      <w:r>
        <w:rPr>
          <w:rFonts w:ascii="Times New Roman" w:hAnsi="Times New Roman"/>
          <w:b/>
          <w:i w:val="0"/>
          <w:color w:val="111827"/>
          <w:sz w:val="22"/>
        </w:rPr>
        <w:t>DRAM and NAND: both businesses are now capacity-constrained</w:t>
      </w:r>
    </w:p>
    <w:p>
      <w:pPr>
        <w:spacing w:before="0" w:after="100" w:line="264" w:lineRule="auto"/>
        <w:jc w:val="left"/>
      </w:pPr>
      <w:r>
        <w:rPr>
          <w:rFonts w:ascii="Times New Roman" w:hAnsi="Times New Roman"/>
          <w:b w:val="0"/>
          <w:i w:val="0"/>
          <w:sz w:val="21"/>
        </w:rPr>
        <w:t>Prepared remarks show DRAM revenue of $31.3B, up 343% YoY and 67% QoQ, representing 76% of company revenue. NAND revenue was $9.9B, up 361% YoY and 99% QoQ, representing 24% of revenue. Management attributed the growth mostly to pricing: DRAM ASPs increased in the low-60% range sequentially, while NAND ASPs increased in the mid-80% range.</w:t>
      </w:r>
    </w:p>
    <w:p>
      <w:pPr>
        <w:keepNext/>
        <w:spacing w:before="80" w:after="40" w:line="264" w:lineRule="auto"/>
        <w:jc w:val="center"/>
      </w:pPr>
      <w:r>
        <w:rPr>
          <w:rFonts w:ascii="Times New Roman" w:hAnsi="Times New Roman"/>
          <w:b/>
          <w:i w:val="0"/>
          <w:color w:val="111827"/>
          <w:sz w:val="17"/>
        </w:rPr>
        <w:t>Figure 2 - DRAM and NAND revenue by quarter</w:t>
      </w:r>
    </w:p>
    <w:p>
      <w:pPr>
        <w:keepNext/>
        <w:jc w:val="center"/>
      </w:pPr>
      <w:r>
        <w:drawing>
          <wp:inline xmlns:a="http://schemas.openxmlformats.org/drawingml/2006/main" xmlns:pic="http://schemas.openxmlformats.org/drawingml/2006/picture">
            <wp:extent cx="5349240" cy="3011424"/>
            <wp:docPr id="2" name="Picture 2"/>
            <wp:cNvGraphicFramePr>
              <a:graphicFrameLocks noChangeAspect="1"/>
            </wp:cNvGraphicFramePr>
            <a:graphic>
              <a:graphicData uri="http://schemas.openxmlformats.org/drawingml/2006/picture">
                <pic:pic>
                  <pic:nvPicPr>
                    <pic:cNvPr id="0" name="mu_chart4_dram_nand.png"/>
                    <pic:cNvPicPr/>
                  </pic:nvPicPr>
                  <pic:blipFill>
                    <a:blip r:embed="rId15"/>
                    <a:stretch>
                      <a:fillRect/>
                    </a:stretch>
                  </pic:blipFill>
                  <pic:spPr>
                    <a:xfrm>
                      <a:off x="0" y="0"/>
                      <a:ext cx="5349240" cy="3011424"/>
                    </a:xfrm>
                    <a:prstGeom prst="rect"/>
                  </pic:spPr>
                </pic:pic>
              </a:graphicData>
            </a:graphic>
          </wp:inline>
        </w:drawing>
      </w:r>
    </w:p>
    <w:p>
      <w:pPr>
        <w:spacing w:before="40" w:after="80" w:line="264" w:lineRule="auto"/>
        <w:jc w:val="left"/>
      </w:pPr>
      <w:r>
        <w:rPr>
          <w:rFonts w:ascii="Times New Roman" w:hAnsi="Times New Roman"/>
          <w:b w:val="0"/>
          <w:i/>
          <w:color w:val="6B7280"/>
          <w:sz w:val="15"/>
        </w:rPr>
        <w:t xml:space="preserve">Source: </w:t>
      </w:r>
      <w:hyperlink r:id="rId16">
        <w:r>
          <w:rPr>
            <w:color w:val="1A6B8A"/>
            <w:u w:val="single"/>
          </w:rPr>
          <w:t>Prepared remarks</w:t>
        </w:r>
      </w:hyperlink>
      <w:r>
        <w:rPr>
          <w:rFonts w:ascii="Times New Roman" w:hAnsi="Times New Roman"/>
          <w:b w:val="0"/>
          <w:i/>
          <w:color w:val="6B7280"/>
          <w:sz w:val="15"/>
        </w:rPr>
        <w:t xml:space="preserve">; </w:t>
      </w:r>
      <w:hyperlink r:id="rId17">
        <w:r>
          <w:rPr>
            <w:color w:val="1A6B8A"/>
            <w:u w:val="single"/>
          </w:rPr>
          <w:t>Investor presentation</w:t>
        </w:r>
      </w:hyperlink>
    </w:p>
    <w:p>
      <w:pPr>
        <w:spacing w:before="140" w:after="60" w:line="264" w:lineRule="auto"/>
        <w:jc w:val="left"/>
      </w:pPr>
      <w:r>
        <w:rPr>
          <w:rFonts w:ascii="Times New Roman" w:hAnsi="Times New Roman"/>
          <w:b/>
          <w:i w:val="0"/>
          <w:color w:val="111827"/>
          <w:sz w:val="22"/>
        </w:rPr>
        <w:t>Business units: all four reached records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592"/>
            <w:shd w:fill="1A6B8A"/>
            <w:vAlign w:val="center"/>
          </w:tcPr>
          <w:p>
            <w:pPr>
              <w:spacing w:after="0"/>
              <w:jc w:val="center"/>
            </w:pPr>
            <w:r>
              <w:rPr>
                <w:rFonts w:ascii="Times New Roman" w:hAnsi="Times New Roman"/>
                <w:b/>
                <w:i w:val="0"/>
                <w:color w:val="FFFFFF"/>
                <w:sz w:val="17"/>
              </w:rPr>
              <w:t>Business Unit</w:t>
            </w:r>
          </w:p>
        </w:tc>
        <w:tc>
          <w:tcPr>
            <w:tcW w:type="dxa" w:w="1440"/>
            <w:shd w:fill="1A6B8A"/>
            <w:vAlign w:val="center"/>
          </w:tcPr>
          <w:p>
            <w:pPr>
              <w:spacing w:after="0"/>
              <w:jc w:val="center"/>
            </w:pPr>
            <w:r>
              <w:rPr>
                <w:rFonts w:ascii="Times New Roman" w:hAnsi="Times New Roman"/>
                <w:b/>
                <w:i w:val="0"/>
                <w:color w:val="FFFFFF"/>
                <w:sz w:val="17"/>
              </w:rPr>
              <w:t>Revenue</w:t>
            </w:r>
          </w:p>
        </w:tc>
        <w:tc>
          <w:tcPr>
            <w:tcW w:type="dxa" w:w="1440"/>
            <w:shd w:fill="1A6B8A"/>
            <w:vAlign w:val="center"/>
          </w:tcPr>
          <w:p>
            <w:pPr>
              <w:spacing w:after="0"/>
              <w:jc w:val="center"/>
            </w:pPr>
            <w:r>
              <w:rPr>
                <w:rFonts w:ascii="Times New Roman" w:hAnsi="Times New Roman"/>
                <w:b/>
                <w:i w:val="0"/>
                <w:color w:val="FFFFFF"/>
                <w:sz w:val="17"/>
              </w:rPr>
              <w:t>Gross Margin</w:t>
            </w:r>
          </w:p>
        </w:tc>
        <w:tc>
          <w:tcPr>
            <w:tcW w:type="dxa" w:w="1296"/>
            <w:shd w:fill="1A6B8A"/>
            <w:vAlign w:val="center"/>
          </w:tcPr>
          <w:p>
            <w:pPr>
              <w:spacing w:after="0"/>
              <w:jc w:val="center"/>
            </w:pPr>
            <w:r>
              <w:rPr>
                <w:rFonts w:ascii="Times New Roman" w:hAnsi="Times New Roman"/>
                <w:b/>
                <w:i w:val="0"/>
                <w:color w:val="FFFFFF"/>
                <w:sz w:val="17"/>
              </w:rPr>
              <w:t>QoQ</w:t>
            </w:r>
          </w:p>
        </w:tc>
        <w:tc>
          <w:tcPr>
            <w:tcW w:type="dxa" w:w="1296"/>
            <w:shd w:fill="1A6B8A"/>
            <w:vAlign w:val="center"/>
          </w:tcPr>
          <w:p>
            <w:pPr>
              <w:spacing w:after="0"/>
              <w:jc w:val="center"/>
            </w:pPr>
            <w:r>
              <w:rPr>
                <w:rFonts w:ascii="Times New Roman" w:hAnsi="Times New Roman"/>
                <w:b/>
                <w:i w:val="0"/>
                <w:color w:val="FFFFFF"/>
                <w:sz w:val="17"/>
              </w:rPr>
              <w:t>YoY</w:t>
            </w:r>
          </w:p>
        </w:tc>
      </w:tr>
      <w:tr>
        <w:tc>
          <w:tcPr>
            <w:tcW w:type="dxa" w:w="2592"/>
            <w:shd w:fill="FFFFFF"/>
            <w:vAlign w:val="center"/>
          </w:tcPr>
          <w:p>
            <w:pPr>
              <w:spacing w:after="0"/>
              <w:jc w:val="left"/>
            </w:pPr>
            <w:r>
              <w:rPr>
                <w:rFonts w:ascii="Times New Roman" w:hAnsi="Times New Roman"/>
                <w:b w:val="0"/>
                <w:i w:val="0"/>
                <w:sz w:val="17"/>
              </w:rPr>
              <w:t>Cloud Memory</w:t>
            </w:r>
          </w:p>
        </w:tc>
        <w:tc>
          <w:tcPr>
            <w:tcW w:type="dxa" w:w="1440"/>
            <w:shd w:fill="FFFFFF"/>
            <w:vAlign w:val="center"/>
          </w:tcPr>
          <w:p>
            <w:pPr>
              <w:spacing w:after="0"/>
              <w:jc w:val="center"/>
            </w:pPr>
            <w:r>
              <w:rPr>
                <w:rFonts w:ascii="Times New Roman" w:hAnsi="Times New Roman"/>
                <w:b w:val="0"/>
                <w:i w:val="0"/>
                <w:sz w:val="17"/>
              </w:rPr>
              <w:t>$13.8B</w:t>
            </w:r>
          </w:p>
        </w:tc>
        <w:tc>
          <w:tcPr>
            <w:tcW w:type="dxa" w:w="1440"/>
            <w:shd w:fill="FFFFFF"/>
            <w:vAlign w:val="center"/>
          </w:tcPr>
          <w:p>
            <w:pPr>
              <w:spacing w:after="0"/>
              <w:jc w:val="center"/>
            </w:pPr>
            <w:r>
              <w:rPr>
                <w:rFonts w:ascii="Times New Roman" w:hAnsi="Times New Roman"/>
                <w:b w:val="0"/>
                <w:i w:val="0"/>
                <w:sz w:val="17"/>
              </w:rPr>
              <w:t>83%</w:t>
            </w:r>
          </w:p>
        </w:tc>
        <w:tc>
          <w:tcPr>
            <w:tcW w:type="dxa" w:w="1296"/>
            <w:shd w:fill="FFFFFF"/>
            <w:vAlign w:val="center"/>
          </w:tcPr>
          <w:p>
            <w:pPr>
              <w:spacing w:after="0"/>
              <w:jc w:val="center"/>
            </w:pPr>
            <w:r>
              <w:rPr>
                <w:rFonts w:ascii="Times New Roman" w:hAnsi="Times New Roman"/>
                <w:b w:val="0"/>
                <w:i w:val="0"/>
                <w:color w:val="2E7D52"/>
                <w:sz w:val="17"/>
              </w:rPr>
              <w:t>+78%</w:t>
            </w:r>
          </w:p>
        </w:tc>
        <w:tc>
          <w:tcPr>
            <w:tcW w:type="dxa" w:w="1296"/>
            <w:shd w:fill="FFFFFF"/>
            <w:vAlign w:val="center"/>
          </w:tcPr>
          <w:p>
            <w:pPr>
              <w:spacing w:after="0"/>
              <w:jc w:val="center"/>
            </w:pPr>
            <w:r>
              <w:rPr>
                <w:rFonts w:ascii="Times New Roman" w:hAnsi="Times New Roman"/>
                <w:b w:val="0"/>
                <w:i w:val="0"/>
                <w:color w:val="2E7D52"/>
                <w:sz w:val="17"/>
              </w:rPr>
              <w:t>+307%</w:t>
            </w:r>
          </w:p>
        </w:tc>
      </w:tr>
      <w:tr>
        <w:tc>
          <w:tcPr>
            <w:tcW w:type="dxa" w:w="2592"/>
            <w:shd w:fill="F3F4F6"/>
            <w:vAlign w:val="center"/>
          </w:tcPr>
          <w:p>
            <w:pPr>
              <w:spacing w:after="0"/>
              <w:jc w:val="left"/>
            </w:pPr>
            <w:r>
              <w:rPr>
                <w:rFonts w:ascii="Times New Roman" w:hAnsi="Times New Roman"/>
                <w:b w:val="0"/>
                <w:i w:val="0"/>
                <w:sz w:val="17"/>
              </w:rPr>
              <w:t>Core Data Center</w:t>
            </w:r>
          </w:p>
        </w:tc>
        <w:tc>
          <w:tcPr>
            <w:tcW w:type="dxa" w:w="1440"/>
            <w:shd w:fill="F3F4F6"/>
            <w:vAlign w:val="center"/>
          </w:tcPr>
          <w:p>
            <w:pPr>
              <w:spacing w:after="0"/>
              <w:jc w:val="center"/>
            </w:pPr>
            <w:r>
              <w:rPr>
                <w:rFonts w:ascii="Times New Roman" w:hAnsi="Times New Roman"/>
                <w:b w:val="0"/>
                <w:i w:val="0"/>
                <w:sz w:val="17"/>
              </w:rPr>
              <w:t>$11.5B</w:t>
            </w:r>
          </w:p>
        </w:tc>
        <w:tc>
          <w:tcPr>
            <w:tcW w:type="dxa" w:w="1440"/>
            <w:shd w:fill="F3F4F6"/>
            <w:vAlign w:val="center"/>
          </w:tcPr>
          <w:p>
            <w:pPr>
              <w:spacing w:after="0"/>
              <w:jc w:val="center"/>
            </w:pPr>
            <w:r>
              <w:rPr>
                <w:rFonts w:ascii="Times New Roman" w:hAnsi="Times New Roman"/>
                <w:b w:val="0"/>
                <w:i w:val="0"/>
                <w:sz w:val="17"/>
              </w:rPr>
              <w:t>87%</w:t>
            </w:r>
          </w:p>
        </w:tc>
        <w:tc>
          <w:tcPr>
            <w:tcW w:type="dxa" w:w="1296"/>
            <w:shd w:fill="F3F4F6"/>
            <w:vAlign w:val="center"/>
          </w:tcPr>
          <w:p>
            <w:pPr>
              <w:spacing w:after="0"/>
              <w:jc w:val="center"/>
            </w:pPr>
            <w:r>
              <w:rPr>
                <w:rFonts w:ascii="Times New Roman" w:hAnsi="Times New Roman"/>
                <w:b w:val="0"/>
                <w:i w:val="0"/>
                <w:color w:val="2E7D52"/>
                <w:sz w:val="17"/>
              </w:rPr>
              <w:t>+103%</w:t>
            </w:r>
          </w:p>
        </w:tc>
        <w:tc>
          <w:tcPr>
            <w:tcW w:type="dxa" w:w="1296"/>
            <w:shd w:fill="F3F4F6"/>
            <w:vAlign w:val="center"/>
          </w:tcPr>
          <w:p>
            <w:pPr>
              <w:spacing w:after="0"/>
              <w:jc w:val="center"/>
            </w:pPr>
            <w:r>
              <w:rPr>
                <w:rFonts w:ascii="Times New Roman" w:hAnsi="Times New Roman"/>
                <w:b w:val="0"/>
                <w:i w:val="0"/>
                <w:color w:val="2E7D52"/>
                <w:sz w:val="17"/>
              </w:rPr>
              <w:t>+653%</w:t>
            </w:r>
          </w:p>
        </w:tc>
      </w:tr>
      <w:tr>
        <w:tc>
          <w:tcPr>
            <w:tcW w:type="dxa" w:w="2592"/>
            <w:shd w:fill="FFFFFF"/>
            <w:vAlign w:val="center"/>
          </w:tcPr>
          <w:p>
            <w:pPr>
              <w:spacing w:after="0"/>
              <w:jc w:val="left"/>
            </w:pPr>
            <w:r>
              <w:rPr>
                <w:rFonts w:ascii="Times New Roman" w:hAnsi="Times New Roman"/>
                <w:b w:val="0"/>
                <w:i w:val="0"/>
                <w:sz w:val="17"/>
              </w:rPr>
              <w:t>Mobile &amp; Client</w:t>
            </w:r>
          </w:p>
        </w:tc>
        <w:tc>
          <w:tcPr>
            <w:tcW w:type="dxa" w:w="1440"/>
            <w:shd w:fill="FFFFFF"/>
            <w:vAlign w:val="center"/>
          </w:tcPr>
          <w:p>
            <w:pPr>
              <w:spacing w:after="0"/>
              <w:jc w:val="center"/>
            </w:pPr>
            <w:r>
              <w:rPr>
                <w:rFonts w:ascii="Times New Roman" w:hAnsi="Times New Roman"/>
                <w:b w:val="0"/>
                <w:i w:val="0"/>
                <w:sz w:val="17"/>
              </w:rPr>
              <w:t>$11.5B</w:t>
            </w:r>
          </w:p>
        </w:tc>
        <w:tc>
          <w:tcPr>
            <w:tcW w:type="dxa" w:w="1440"/>
            <w:shd w:fill="FFFFFF"/>
            <w:vAlign w:val="center"/>
          </w:tcPr>
          <w:p>
            <w:pPr>
              <w:spacing w:after="0"/>
              <w:jc w:val="center"/>
            </w:pPr>
            <w:r>
              <w:rPr>
                <w:rFonts w:ascii="Times New Roman" w:hAnsi="Times New Roman"/>
                <w:b w:val="0"/>
                <w:i w:val="0"/>
                <w:sz w:val="17"/>
              </w:rPr>
              <w:t>87%</w:t>
            </w:r>
          </w:p>
        </w:tc>
        <w:tc>
          <w:tcPr>
            <w:tcW w:type="dxa" w:w="1296"/>
            <w:shd w:fill="FFFFFF"/>
            <w:vAlign w:val="center"/>
          </w:tcPr>
          <w:p>
            <w:pPr>
              <w:spacing w:after="0"/>
              <w:jc w:val="center"/>
            </w:pPr>
            <w:r>
              <w:rPr>
                <w:rFonts w:ascii="Times New Roman" w:hAnsi="Times New Roman"/>
                <w:b w:val="0"/>
                <w:i w:val="0"/>
                <w:color w:val="2E7D52"/>
                <w:sz w:val="17"/>
              </w:rPr>
              <w:t>+49%</w:t>
            </w:r>
          </w:p>
        </w:tc>
        <w:tc>
          <w:tcPr>
            <w:tcW w:type="dxa" w:w="1296"/>
            <w:shd w:fill="FFFFFF"/>
            <w:vAlign w:val="center"/>
          </w:tcPr>
          <w:p>
            <w:pPr>
              <w:spacing w:after="0"/>
              <w:jc w:val="center"/>
            </w:pPr>
            <w:r>
              <w:rPr>
                <w:rFonts w:ascii="Times New Roman" w:hAnsi="Times New Roman"/>
                <w:b w:val="0"/>
                <w:i w:val="0"/>
                <w:color w:val="2E7D52"/>
                <w:sz w:val="17"/>
              </w:rPr>
              <w:t>+254%</w:t>
            </w:r>
          </w:p>
        </w:tc>
      </w:tr>
      <w:tr>
        <w:tc>
          <w:tcPr>
            <w:tcW w:type="dxa" w:w="2592"/>
            <w:shd w:fill="F3F4F6"/>
            <w:vAlign w:val="center"/>
          </w:tcPr>
          <w:p>
            <w:pPr>
              <w:spacing w:after="0"/>
              <w:jc w:val="left"/>
            </w:pPr>
            <w:r>
              <w:rPr>
                <w:rFonts w:ascii="Times New Roman" w:hAnsi="Times New Roman"/>
                <w:b w:val="0"/>
                <w:i w:val="0"/>
                <w:sz w:val="17"/>
              </w:rPr>
              <w:t>Auto &amp; Embedded</w:t>
            </w:r>
          </w:p>
        </w:tc>
        <w:tc>
          <w:tcPr>
            <w:tcW w:type="dxa" w:w="1440"/>
            <w:shd w:fill="F3F4F6"/>
            <w:vAlign w:val="center"/>
          </w:tcPr>
          <w:p>
            <w:pPr>
              <w:spacing w:after="0"/>
              <w:jc w:val="center"/>
            </w:pPr>
            <w:r>
              <w:rPr>
                <w:rFonts w:ascii="Times New Roman" w:hAnsi="Times New Roman"/>
                <w:b w:val="0"/>
                <w:i w:val="0"/>
                <w:sz w:val="17"/>
              </w:rPr>
              <w:t>$4.6B</w:t>
            </w:r>
          </w:p>
        </w:tc>
        <w:tc>
          <w:tcPr>
            <w:tcW w:type="dxa" w:w="1440"/>
            <w:shd w:fill="F3F4F6"/>
            <w:vAlign w:val="center"/>
          </w:tcPr>
          <w:p>
            <w:pPr>
              <w:spacing w:after="0"/>
              <w:jc w:val="center"/>
            </w:pPr>
            <w:r>
              <w:rPr>
                <w:rFonts w:ascii="Times New Roman" w:hAnsi="Times New Roman"/>
                <w:b w:val="0"/>
                <w:i w:val="0"/>
                <w:sz w:val="17"/>
              </w:rPr>
              <w:t>79%</w:t>
            </w:r>
          </w:p>
        </w:tc>
        <w:tc>
          <w:tcPr>
            <w:tcW w:type="dxa" w:w="1296"/>
            <w:shd w:fill="F3F4F6"/>
            <w:vAlign w:val="center"/>
          </w:tcPr>
          <w:p>
            <w:pPr>
              <w:spacing w:after="0"/>
              <w:jc w:val="center"/>
            </w:pPr>
            <w:r>
              <w:rPr>
                <w:rFonts w:ascii="Times New Roman" w:hAnsi="Times New Roman"/>
                <w:b w:val="0"/>
                <w:i w:val="0"/>
                <w:color w:val="2E7D52"/>
                <w:sz w:val="17"/>
              </w:rPr>
              <w:t>+71%</w:t>
            </w:r>
          </w:p>
        </w:tc>
        <w:tc>
          <w:tcPr>
            <w:tcW w:type="dxa" w:w="1296"/>
            <w:shd w:fill="F3F4F6"/>
            <w:vAlign w:val="center"/>
          </w:tcPr>
          <w:p>
            <w:pPr>
              <w:spacing w:after="0"/>
              <w:jc w:val="center"/>
            </w:pPr>
            <w:r>
              <w:rPr>
                <w:rFonts w:ascii="Times New Roman" w:hAnsi="Times New Roman"/>
                <w:b w:val="0"/>
                <w:i w:val="0"/>
                <w:color w:val="2E7D52"/>
                <w:sz w:val="17"/>
              </w:rPr>
              <w:t>+311%</w:t>
            </w:r>
          </w:p>
        </w:tc>
      </w:tr>
    </w:tbl>
    <w:p>
      <w:pPr>
        <w:spacing w:before="40" w:after="80" w:line="264" w:lineRule="auto"/>
        <w:jc w:val="left"/>
      </w:pPr>
      <w:r>
        <w:rPr>
          <w:rFonts w:ascii="Times New Roman" w:hAnsi="Times New Roman"/>
          <w:b w:val="0"/>
          <w:i/>
          <w:color w:val="6B7280"/>
          <w:sz w:val="15"/>
        </w:rPr>
        <w:t xml:space="preserve">Source: </w:t>
      </w:r>
      <w:hyperlink r:id="rId11">
        <w:r>
          <w:rPr>
            <w:color w:val="1A6B8A"/>
            <w:u w:val="single"/>
          </w:rPr>
          <w:t>Micron Q3 FY2026 press release</w:t>
        </w:r>
      </w:hyperlink>
      <w:r>
        <w:rPr>
          <w:rFonts w:ascii="Times New Roman" w:hAnsi="Times New Roman"/>
          <w:b w:val="0"/>
          <w:i/>
          <w:color w:val="6B7280"/>
          <w:sz w:val="15"/>
        </w:rPr>
        <w:t xml:space="preserve">; </w:t>
      </w:r>
      <w:hyperlink r:id="rId17">
        <w:r>
          <w:rPr>
            <w:color w:val="1A6B8A"/>
            <w:u w:val="single"/>
          </w:rPr>
          <w:t>Investor presentation slides 22-24</w:t>
        </w:r>
      </w:hyperlink>
    </w:p>
    <w:p>
      <w:pPr>
        <w:keepNext/>
        <w:spacing w:before="80" w:after="40" w:line="264" w:lineRule="auto"/>
        <w:jc w:val="center"/>
      </w:pPr>
      <w:r>
        <w:rPr>
          <w:rFonts w:ascii="Times New Roman" w:hAnsi="Times New Roman"/>
          <w:b/>
          <w:i w:val="0"/>
          <w:color w:val="111827"/>
          <w:sz w:val="17"/>
        </w:rPr>
        <w:t>Figure 3 - Revenue by business unit</w:t>
      </w:r>
    </w:p>
    <w:p>
      <w:pPr>
        <w:keepNext/>
        <w:jc w:val="center"/>
      </w:pPr>
      <w:r>
        <w:drawing>
          <wp:inline xmlns:a="http://schemas.openxmlformats.org/drawingml/2006/main" xmlns:pic="http://schemas.openxmlformats.org/drawingml/2006/picture">
            <wp:extent cx="5349240" cy="3011424"/>
            <wp:docPr id="3" name="Picture 3"/>
            <wp:cNvGraphicFramePr>
              <a:graphicFrameLocks noChangeAspect="1"/>
            </wp:cNvGraphicFramePr>
            <a:graphic>
              <a:graphicData uri="http://schemas.openxmlformats.org/drawingml/2006/picture">
                <pic:pic>
                  <pic:nvPicPr>
                    <pic:cNvPr id="0" name="mu_chart5_business_units.png"/>
                    <pic:cNvPicPr/>
                  </pic:nvPicPr>
                  <pic:blipFill>
                    <a:blip r:embed="rId18"/>
                    <a:stretch>
                      <a:fillRect/>
                    </a:stretch>
                  </pic:blipFill>
                  <pic:spPr>
                    <a:xfrm>
                      <a:off x="0" y="0"/>
                      <a:ext cx="5349240" cy="3011424"/>
                    </a:xfrm>
                    <a:prstGeom prst="rect"/>
                  </pic:spPr>
                </pic:pic>
              </a:graphicData>
            </a:graphic>
          </wp:inline>
        </w:drawing>
      </w:r>
    </w:p>
    <w:p>
      <w:pPr>
        <w:spacing w:before="40" w:after="80" w:line="264" w:lineRule="auto"/>
        <w:jc w:val="left"/>
      </w:pPr>
      <w:r>
        <w:rPr>
          <w:rFonts w:ascii="Times New Roman" w:hAnsi="Times New Roman"/>
          <w:b w:val="0"/>
          <w:i/>
          <w:color w:val="6B7280"/>
          <w:sz w:val="15"/>
        </w:rPr>
        <w:t xml:space="preserve">Source: </w:t>
      </w:r>
      <w:hyperlink r:id="rId17">
        <w:r>
          <w:rPr>
            <w:color w:val="1A6B8A"/>
            <w:u w:val="single"/>
          </w:rPr>
          <w:t>Micron investor presentation</w:t>
        </w:r>
      </w:hyperlink>
    </w:p>
    <w:p>
      <w:r>
        <w:br w:type="page"/>
      </w:r>
    </w:p>
    <w:p>
      <w:pPr>
        <w:spacing w:before="200" w:after="80" w:line="264" w:lineRule="auto"/>
        <w:jc w:val="left"/>
        <w:pBdr>
          <w:bottom w:val="single" w:sz="6" w:space="4" w:color="1A6B8A"/>
        </w:pBdr>
      </w:pPr>
      <w:r>
        <w:rPr>
          <w:rFonts w:ascii="Times New Roman" w:hAnsi="Times New Roman"/>
          <w:b/>
          <w:i w:val="0"/>
          <w:color w:val="1A6B8A"/>
          <w:sz w:val="26"/>
        </w:rPr>
        <w:t>PROFITABILITY AND CASH FLOW</w:t>
      </w:r>
    </w:p>
    <w:p>
      <w:pPr>
        <w:spacing w:before="140" w:after="60" w:line="264" w:lineRule="auto"/>
        <w:jc w:val="left"/>
      </w:pPr>
      <w:r>
        <w:rPr>
          <w:rFonts w:ascii="Times New Roman" w:hAnsi="Times New Roman"/>
          <w:b/>
          <w:i w:val="0"/>
          <w:color w:val="111827"/>
          <w:sz w:val="22"/>
        </w:rPr>
        <w:t>Gross margin expanded 10 points sequentially</w:t>
      </w:r>
    </w:p>
    <w:p>
      <w:pPr>
        <w:spacing w:before="0" w:after="100" w:line="264" w:lineRule="auto"/>
        <w:jc w:val="left"/>
      </w:pPr>
      <w:r>
        <w:rPr>
          <w:rFonts w:ascii="Times New Roman" w:hAnsi="Times New Roman"/>
          <w:b w:val="0"/>
          <w:i w:val="0"/>
          <w:sz w:val="21"/>
        </w:rPr>
        <w:t>Non-GAAP gross margin reached 84.9%, up roughly 10 percentage points sequentially and more than double the year-ago level. The primary driver was pricing, with favorable mix and manufacturing execution also helping. This is the clearest signal that memory has temporarily shifted from commodity oversupply to scarcity economics.</w:t>
      </w:r>
    </w:p>
    <w:p>
      <w:pPr>
        <w:keepNext/>
        <w:spacing w:before="80" w:after="40" w:line="264" w:lineRule="auto"/>
        <w:jc w:val="center"/>
      </w:pPr>
      <w:r>
        <w:rPr>
          <w:rFonts w:ascii="Times New Roman" w:hAnsi="Times New Roman"/>
          <w:b/>
          <w:i w:val="0"/>
          <w:color w:val="111827"/>
          <w:sz w:val="17"/>
        </w:rPr>
        <w:t>Figure 4 - Gross and operating margin trend</w:t>
      </w:r>
    </w:p>
    <w:p>
      <w:pPr>
        <w:keepNext/>
        <w:jc w:val="center"/>
      </w:pPr>
      <w:r>
        <w:drawing>
          <wp:inline xmlns:a="http://schemas.openxmlformats.org/drawingml/2006/main" xmlns:pic="http://schemas.openxmlformats.org/drawingml/2006/picture">
            <wp:extent cx="5349240" cy="3011424"/>
            <wp:docPr id="4" name="Picture 4"/>
            <wp:cNvGraphicFramePr>
              <a:graphicFrameLocks noChangeAspect="1"/>
            </wp:cNvGraphicFramePr>
            <a:graphic>
              <a:graphicData uri="http://schemas.openxmlformats.org/drawingml/2006/picture">
                <pic:pic>
                  <pic:nvPicPr>
                    <pic:cNvPr id="0" name="mu_chart3_margins.png"/>
                    <pic:cNvPicPr/>
                  </pic:nvPicPr>
                  <pic:blipFill>
                    <a:blip r:embed="rId19"/>
                    <a:stretch>
                      <a:fillRect/>
                    </a:stretch>
                  </pic:blipFill>
                  <pic:spPr>
                    <a:xfrm>
                      <a:off x="0" y="0"/>
                      <a:ext cx="5349240" cy="3011424"/>
                    </a:xfrm>
                    <a:prstGeom prst="rect"/>
                  </pic:spPr>
                </pic:pic>
              </a:graphicData>
            </a:graphic>
          </wp:inline>
        </w:drawing>
      </w:r>
    </w:p>
    <w:p>
      <w:pPr>
        <w:spacing w:before="40" w:after="80" w:line="264" w:lineRule="auto"/>
        <w:jc w:val="left"/>
      </w:pPr>
      <w:r>
        <w:rPr>
          <w:rFonts w:ascii="Times New Roman" w:hAnsi="Times New Roman"/>
          <w:b w:val="0"/>
          <w:i/>
          <w:color w:val="6B7280"/>
          <w:sz w:val="15"/>
        </w:rPr>
        <w:t xml:space="preserve">Source: </w:t>
      </w:r>
      <w:hyperlink r:id="rId11">
        <w:r>
          <w:rPr>
            <w:color w:val="1A6B8A"/>
            <w:u w:val="single"/>
          </w:rPr>
          <w:t>Earnings release</w:t>
        </w:r>
      </w:hyperlink>
      <w:r>
        <w:rPr>
          <w:rFonts w:ascii="Times New Roman" w:hAnsi="Times New Roman"/>
          <w:b w:val="0"/>
          <w:i/>
          <w:color w:val="6B7280"/>
          <w:sz w:val="15"/>
        </w:rPr>
        <w:t xml:space="preserve">; </w:t>
      </w:r>
      <w:hyperlink r:id="rId17">
        <w:r>
          <w:rPr>
            <w:color w:val="1A6B8A"/>
            <w:u w:val="single"/>
          </w:rPr>
          <w:t>Investor presentation</w:t>
        </w:r>
      </w:hyperlink>
    </w:p>
    <w:p>
      <w:pPr>
        <w:spacing w:before="140" w:after="60" w:line="264" w:lineRule="auto"/>
        <w:jc w:val="left"/>
      </w:pPr>
      <w:r>
        <w:rPr>
          <w:rFonts w:ascii="Times New Roman" w:hAnsi="Times New Roman"/>
          <w:b/>
          <w:i w:val="0"/>
          <w:color w:val="111827"/>
          <w:sz w:val="22"/>
        </w:rPr>
        <w:t>EPS and cash generation were both far ahead</w:t>
      </w:r>
    </w:p>
    <w:p>
      <w:pPr>
        <w:spacing w:before="0" w:after="100" w:line="264" w:lineRule="auto"/>
        <w:jc w:val="left"/>
      </w:pPr>
      <w:r>
        <w:rPr>
          <w:rFonts w:ascii="Times New Roman" w:hAnsi="Times New Roman"/>
          <w:b w:val="0"/>
          <w:i w:val="0"/>
          <w:sz w:val="21"/>
        </w:rPr>
        <w:t>Non-GAAP EPS of $25.11 beat FactSet consensus by $4.25, or 20%. Non-GAAP operating income was $33.68B, equivalent to an 81.2% margin. Operating cash flow was $25.39B and adjusted free cash flow was $18.3B, a company record even with net capex of $7.1B.</w:t>
      </w:r>
    </w:p>
    <w:p>
      <w:pPr>
        <w:keepNext/>
        <w:spacing w:before="80" w:after="40" w:line="264" w:lineRule="auto"/>
        <w:jc w:val="center"/>
      </w:pPr>
      <w:r>
        <w:rPr>
          <w:rFonts w:ascii="Times New Roman" w:hAnsi="Times New Roman"/>
          <w:b/>
          <w:i w:val="0"/>
          <w:color w:val="111827"/>
          <w:sz w:val="17"/>
        </w:rPr>
        <w:t>Figure 5 - Non-GAAP EPS progression</w:t>
      </w:r>
    </w:p>
    <w:p>
      <w:pPr>
        <w:keepNext/>
        <w:jc w:val="center"/>
      </w:pPr>
      <w:r>
        <w:drawing>
          <wp:inline xmlns:a="http://schemas.openxmlformats.org/drawingml/2006/main" xmlns:pic="http://schemas.openxmlformats.org/drawingml/2006/picture">
            <wp:extent cx="5349240" cy="3011424"/>
            <wp:docPr id="5" name="Picture 5"/>
            <wp:cNvGraphicFramePr>
              <a:graphicFrameLocks noChangeAspect="1"/>
            </wp:cNvGraphicFramePr>
            <a:graphic>
              <a:graphicData uri="http://schemas.openxmlformats.org/drawingml/2006/picture">
                <pic:pic>
                  <pic:nvPicPr>
                    <pic:cNvPr id="0" name="mu_chart2_eps.png"/>
                    <pic:cNvPicPr/>
                  </pic:nvPicPr>
                  <pic:blipFill>
                    <a:blip r:embed="rId20"/>
                    <a:stretch>
                      <a:fillRect/>
                    </a:stretch>
                  </pic:blipFill>
                  <pic:spPr>
                    <a:xfrm>
                      <a:off x="0" y="0"/>
                      <a:ext cx="5349240" cy="3011424"/>
                    </a:xfrm>
                    <a:prstGeom prst="rect"/>
                  </pic:spPr>
                </pic:pic>
              </a:graphicData>
            </a:graphic>
          </wp:inline>
        </w:drawing>
      </w:r>
    </w:p>
    <w:p>
      <w:pPr>
        <w:spacing w:before="40" w:after="80" w:line="264" w:lineRule="auto"/>
        <w:jc w:val="left"/>
      </w:pPr>
      <w:r>
        <w:rPr>
          <w:rFonts w:ascii="Times New Roman" w:hAnsi="Times New Roman"/>
          <w:b w:val="0"/>
          <w:i/>
          <w:color w:val="6B7280"/>
          <w:sz w:val="15"/>
        </w:rPr>
        <w:t xml:space="preserve">Source: </w:t>
      </w:r>
      <w:hyperlink r:id="rId11">
        <w:r>
          <w:rPr>
            <w:color w:val="1A6B8A"/>
            <w:u w:val="single"/>
          </w:rPr>
          <w:t>Earnings release</w:t>
        </w:r>
      </w:hyperlink>
      <w:r>
        <w:rPr>
          <w:rFonts w:ascii="Times New Roman" w:hAnsi="Times New Roman"/>
          <w:b w:val="0"/>
          <w:i/>
          <w:color w:val="6B7280"/>
          <w:sz w:val="15"/>
        </w:rPr>
        <w:t xml:space="preserve">; </w:t>
      </w:r>
      <w:hyperlink r:id="rId12">
        <w:r>
          <w:rPr>
            <w:color w:val="1A6B8A"/>
            <w:u w:val="single"/>
          </w:rPr>
          <w:t>FactSet via IBD</w:t>
        </w:r>
      </w:hyperlink>
    </w:p>
    <w:p>
      <w:pPr>
        <w:keepNext/>
        <w:spacing w:before="80" w:after="40" w:line="264" w:lineRule="auto"/>
        <w:jc w:val="center"/>
      </w:pPr>
      <w:r>
        <w:rPr>
          <w:rFonts w:ascii="Times New Roman" w:hAnsi="Times New Roman"/>
          <w:b/>
          <w:i w:val="0"/>
          <w:color w:val="111827"/>
          <w:sz w:val="17"/>
        </w:rPr>
        <w:t>Figure 6 - Operating cash flow and net capex</w:t>
      </w:r>
    </w:p>
    <w:p>
      <w:pPr>
        <w:keepNext/>
        <w:jc w:val="center"/>
      </w:pPr>
      <w:r>
        <w:drawing>
          <wp:inline xmlns:a="http://schemas.openxmlformats.org/drawingml/2006/main" xmlns:pic="http://schemas.openxmlformats.org/drawingml/2006/picture">
            <wp:extent cx="5349240" cy="3011424"/>
            <wp:docPr id="6" name="Picture 6"/>
            <wp:cNvGraphicFramePr>
              <a:graphicFrameLocks noChangeAspect="1"/>
            </wp:cNvGraphicFramePr>
            <a:graphic>
              <a:graphicData uri="http://schemas.openxmlformats.org/drawingml/2006/picture">
                <pic:pic>
                  <pic:nvPicPr>
                    <pic:cNvPr id="0" name="mu_chart7_cash_flow_capex.png"/>
                    <pic:cNvPicPr/>
                  </pic:nvPicPr>
                  <pic:blipFill>
                    <a:blip r:embed="rId21"/>
                    <a:stretch>
                      <a:fillRect/>
                    </a:stretch>
                  </pic:blipFill>
                  <pic:spPr>
                    <a:xfrm>
                      <a:off x="0" y="0"/>
                      <a:ext cx="5349240" cy="3011424"/>
                    </a:xfrm>
                    <a:prstGeom prst="rect"/>
                  </pic:spPr>
                </pic:pic>
              </a:graphicData>
            </a:graphic>
          </wp:inline>
        </w:drawing>
      </w:r>
    </w:p>
    <w:p>
      <w:pPr>
        <w:spacing w:before="40" w:after="80" w:line="264" w:lineRule="auto"/>
        <w:jc w:val="left"/>
      </w:pPr>
      <w:r>
        <w:rPr>
          <w:rFonts w:ascii="Times New Roman" w:hAnsi="Times New Roman"/>
          <w:b w:val="0"/>
          <w:i/>
          <w:color w:val="6B7280"/>
          <w:sz w:val="15"/>
        </w:rPr>
        <w:t xml:space="preserve">Source: </w:t>
      </w:r>
      <w:hyperlink r:id="rId16">
        <w:r>
          <w:rPr>
            <w:color w:val="1A6B8A"/>
            <w:u w:val="single"/>
          </w:rPr>
          <w:t>Prepared remarks</w:t>
        </w:r>
      </w:hyperlink>
      <w:r>
        <w:rPr>
          <w:rFonts w:ascii="Times New Roman" w:hAnsi="Times New Roman"/>
          <w:b w:val="0"/>
          <w:i/>
          <w:color w:val="6B7280"/>
          <w:sz w:val="15"/>
        </w:rPr>
        <w:t xml:space="preserve">; </w:t>
      </w:r>
      <w:hyperlink r:id="rId17">
        <w:r>
          <w:rPr>
            <w:color w:val="1A6B8A"/>
            <w:u w:val="single"/>
          </w:rPr>
          <w:t>Investor presentation</w:t>
        </w:r>
      </w:hyperlink>
    </w:p>
    <w:p>
      <w:r>
        <w:br w:type="page"/>
      </w:r>
    </w:p>
    <w:p>
      <w:pPr>
        <w:spacing w:before="200" w:after="80" w:line="264" w:lineRule="auto"/>
        <w:jc w:val="left"/>
        <w:pBdr>
          <w:bottom w:val="single" w:sz="6" w:space="4" w:color="1A6B8A"/>
        </w:pBdr>
      </w:pPr>
      <w:r>
        <w:rPr>
          <w:rFonts w:ascii="Times New Roman" w:hAnsi="Times New Roman"/>
          <w:b/>
          <w:i w:val="0"/>
          <w:color w:val="1A6B8A"/>
          <w:sz w:val="26"/>
        </w:rPr>
        <w:t>GUIDANCE AND OUTLOOK</w:t>
      </w:r>
    </w:p>
    <w:p>
      <w:pPr>
        <w:spacing w:before="140" w:after="60" w:line="264" w:lineRule="auto"/>
        <w:jc w:val="left"/>
      </w:pPr>
      <w:r>
        <w:rPr>
          <w:rFonts w:ascii="Times New Roman" w:hAnsi="Times New Roman"/>
          <w:b/>
          <w:i w:val="0"/>
          <w:color w:val="111827"/>
          <w:sz w:val="22"/>
        </w:rPr>
        <w:t>FQ4 guide again resets expectations</w:t>
      </w:r>
    </w:p>
    <w:p>
      <w:pPr>
        <w:spacing w:before="0" w:after="100" w:line="264" w:lineRule="auto"/>
        <w:jc w:val="left"/>
      </w:pPr>
      <w:r>
        <w:rPr>
          <w:rFonts w:ascii="Times New Roman" w:hAnsi="Times New Roman"/>
          <w:b w:val="0"/>
          <w:i w:val="0"/>
          <w:sz w:val="21"/>
        </w:rPr>
        <w:t>For FQ4, Micron guided to revenue of $50.0B +/- $1.0B, non-GAAP gross margin of approximately 86%, non-GAAP operating expenses of approximately $1.65B, and non-GAAP EPS of $31.00 +/- $1.00. This was well above pre-earnings Street expectations of $43.58B revenue and $25.72 EPS.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fill="1A6B8A"/>
            <w:vAlign w:val="center"/>
          </w:tcPr>
          <w:p>
            <w:pPr>
              <w:spacing w:after="0"/>
              <w:jc w:val="center"/>
            </w:pPr>
            <w:r>
              <w:rPr>
                <w:rFonts w:ascii="Times New Roman" w:hAnsi="Times New Roman"/>
                <w:b/>
                <w:i w:val="0"/>
                <w:color w:val="FFFFFF"/>
                <w:sz w:val="17"/>
              </w:rPr>
              <w:t>Metric</w:t>
            </w:r>
          </w:p>
        </w:tc>
        <w:tc>
          <w:tcPr>
            <w:tcW w:type="dxa" w:w="2448"/>
            <w:shd w:fill="1A6B8A"/>
            <w:vAlign w:val="center"/>
          </w:tcPr>
          <w:p>
            <w:pPr>
              <w:spacing w:after="0"/>
              <w:jc w:val="center"/>
            </w:pPr>
            <w:r>
              <w:rPr>
                <w:rFonts w:ascii="Times New Roman" w:hAnsi="Times New Roman"/>
                <w:b/>
                <w:i w:val="0"/>
                <w:color w:val="FFFFFF"/>
                <w:sz w:val="17"/>
              </w:rPr>
              <w:t>Micron FQ4 Guide</w:t>
            </w:r>
          </w:p>
        </w:tc>
        <w:tc>
          <w:tcPr>
            <w:tcW w:type="dxa" w:w="1872"/>
            <w:shd w:fill="1A6B8A"/>
            <w:vAlign w:val="center"/>
          </w:tcPr>
          <w:p>
            <w:pPr>
              <w:spacing w:after="0"/>
              <w:jc w:val="center"/>
            </w:pPr>
            <w:r>
              <w:rPr>
                <w:rFonts w:ascii="Times New Roman" w:hAnsi="Times New Roman"/>
                <w:b/>
                <w:i w:val="0"/>
                <w:color w:val="FFFFFF"/>
                <w:sz w:val="17"/>
              </w:rPr>
              <w:t>Consensus</w:t>
            </w:r>
          </w:p>
        </w:tc>
        <w:tc>
          <w:tcPr>
            <w:tcW w:type="dxa" w:w="2448"/>
            <w:shd w:fill="1A6B8A"/>
            <w:vAlign w:val="center"/>
          </w:tcPr>
          <w:p>
            <w:pPr>
              <w:spacing w:after="0"/>
              <w:jc w:val="center"/>
            </w:pPr>
            <w:r>
              <w:rPr>
                <w:rFonts w:ascii="Times New Roman" w:hAnsi="Times New Roman"/>
                <w:b/>
                <w:i w:val="0"/>
                <w:color w:val="FFFFFF"/>
                <w:sz w:val="17"/>
              </w:rPr>
              <w:t>Implication</w:t>
            </w:r>
          </w:p>
        </w:tc>
      </w:tr>
      <w:tr>
        <w:tc>
          <w:tcPr>
            <w:tcW w:type="dxa" w:w="2016"/>
            <w:shd w:fill="FFFFFF"/>
            <w:vAlign w:val="center"/>
          </w:tcPr>
          <w:p>
            <w:pPr>
              <w:spacing w:after="0"/>
              <w:jc w:val="left"/>
            </w:pPr>
            <w:r>
              <w:rPr>
                <w:rFonts w:ascii="Times New Roman" w:hAnsi="Times New Roman"/>
                <w:b w:val="0"/>
                <w:i w:val="0"/>
                <w:sz w:val="17"/>
              </w:rPr>
              <w:t>Revenue</w:t>
            </w:r>
          </w:p>
        </w:tc>
        <w:tc>
          <w:tcPr>
            <w:tcW w:type="dxa" w:w="2448"/>
            <w:shd w:fill="FFFFFF"/>
            <w:vAlign w:val="center"/>
          </w:tcPr>
          <w:p>
            <w:pPr>
              <w:spacing w:after="0"/>
              <w:jc w:val="center"/>
            </w:pPr>
            <w:r>
              <w:rPr>
                <w:rFonts w:ascii="Times New Roman" w:hAnsi="Times New Roman"/>
                <w:b w:val="0"/>
                <w:i w:val="0"/>
                <w:color w:val="2E7D52"/>
                <w:sz w:val="17"/>
              </w:rPr>
              <w:t>$50.0B +/- $1.0B</w:t>
            </w:r>
          </w:p>
        </w:tc>
        <w:tc>
          <w:tcPr>
            <w:tcW w:type="dxa" w:w="1872"/>
            <w:shd w:fill="FFFFFF"/>
            <w:vAlign w:val="center"/>
          </w:tcPr>
          <w:p>
            <w:pPr>
              <w:spacing w:after="0"/>
              <w:jc w:val="center"/>
            </w:pPr>
            <w:r>
              <w:rPr>
                <w:rFonts w:ascii="Times New Roman" w:hAnsi="Times New Roman"/>
                <w:b w:val="0"/>
                <w:i w:val="0"/>
                <w:sz w:val="17"/>
              </w:rPr>
              <w:t>$43.58B</w:t>
            </w:r>
          </w:p>
        </w:tc>
        <w:tc>
          <w:tcPr>
            <w:tcW w:type="dxa" w:w="2448"/>
            <w:shd w:fill="FFFFFF"/>
            <w:vAlign w:val="center"/>
          </w:tcPr>
          <w:p>
            <w:pPr>
              <w:spacing w:after="0"/>
              <w:jc w:val="center"/>
            </w:pPr>
            <w:r>
              <w:rPr>
                <w:rFonts w:ascii="Times New Roman" w:hAnsi="Times New Roman"/>
                <w:b w:val="0"/>
                <w:i w:val="0"/>
                <w:color w:val="2E7D52"/>
                <w:sz w:val="17"/>
              </w:rPr>
              <w:t>+15% vs. Street</w:t>
            </w:r>
          </w:p>
        </w:tc>
      </w:tr>
      <w:tr>
        <w:tc>
          <w:tcPr>
            <w:tcW w:type="dxa" w:w="2016"/>
            <w:shd w:fill="F3F4F6"/>
            <w:vAlign w:val="center"/>
          </w:tcPr>
          <w:p>
            <w:pPr>
              <w:spacing w:after="0"/>
              <w:jc w:val="left"/>
            </w:pPr>
            <w:r>
              <w:rPr>
                <w:rFonts w:ascii="Times New Roman" w:hAnsi="Times New Roman"/>
                <w:b w:val="0"/>
                <w:i w:val="0"/>
                <w:sz w:val="17"/>
              </w:rPr>
              <w:t>Non-GAAP Gross Margin</w:t>
            </w:r>
          </w:p>
        </w:tc>
        <w:tc>
          <w:tcPr>
            <w:tcW w:type="dxa" w:w="2448"/>
            <w:shd w:fill="F3F4F6"/>
            <w:vAlign w:val="center"/>
          </w:tcPr>
          <w:p>
            <w:pPr>
              <w:spacing w:after="0"/>
              <w:jc w:val="center"/>
            </w:pPr>
            <w:r>
              <w:rPr>
                <w:rFonts w:ascii="Times New Roman" w:hAnsi="Times New Roman"/>
                <w:b w:val="0"/>
                <w:i w:val="0"/>
                <w:sz w:val="17"/>
              </w:rPr>
              <w:t>Approx. 86%</w:t>
            </w:r>
          </w:p>
        </w:tc>
        <w:tc>
          <w:tcPr>
            <w:tcW w:type="dxa" w:w="1872"/>
            <w:shd w:fill="F3F4F6"/>
            <w:vAlign w:val="center"/>
          </w:tcPr>
          <w:p>
            <w:pPr>
              <w:spacing w:after="0"/>
              <w:jc w:val="center"/>
            </w:pPr>
            <w:r>
              <w:rPr>
                <w:rFonts w:ascii="Times New Roman" w:hAnsi="Times New Roman"/>
                <w:b w:val="0"/>
                <w:i w:val="0"/>
                <w:sz w:val="17"/>
              </w:rPr>
              <w:t>N/A</w:t>
            </w:r>
          </w:p>
        </w:tc>
        <w:tc>
          <w:tcPr>
            <w:tcW w:type="dxa" w:w="2448"/>
            <w:shd w:fill="F3F4F6"/>
            <w:vAlign w:val="center"/>
          </w:tcPr>
          <w:p>
            <w:pPr>
              <w:spacing w:after="0"/>
              <w:jc w:val="center"/>
            </w:pPr>
            <w:r>
              <w:rPr>
                <w:rFonts w:ascii="Times New Roman" w:hAnsi="Times New Roman"/>
                <w:b w:val="0"/>
                <w:i w:val="0"/>
                <w:color w:val="2E7D52"/>
                <w:sz w:val="17"/>
              </w:rPr>
              <w:t>+110bps QoQ</w:t>
            </w:r>
          </w:p>
        </w:tc>
      </w:tr>
      <w:tr>
        <w:tc>
          <w:tcPr>
            <w:tcW w:type="dxa" w:w="2016"/>
            <w:shd w:fill="FFFFFF"/>
            <w:vAlign w:val="center"/>
          </w:tcPr>
          <w:p>
            <w:pPr>
              <w:spacing w:after="0"/>
              <w:jc w:val="left"/>
            </w:pPr>
            <w:r>
              <w:rPr>
                <w:rFonts w:ascii="Times New Roman" w:hAnsi="Times New Roman"/>
                <w:b w:val="0"/>
                <w:i w:val="0"/>
                <w:sz w:val="17"/>
              </w:rPr>
              <w:t>Non-GAAP EPS</w:t>
            </w:r>
          </w:p>
        </w:tc>
        <w:tc>
          <w:tcPr>
            <w:tcW w:type="dxa" w:w="2448"/>
            <w:shd w:fill="FFFFFF"/>
            <w:vAlign w:val="center"/>
          </w:tcPr>
          <w:p>
            <w:pPr>
              <w:spacing w:after="0"/>
              <w:jc w:val="center"/>
            </w:pPr>
            <w:r>
              <w:rPr>
                <w:rFonts w:ascii="Times New Roman" w:hAnsi="Times New Roman"/>
                <w:b w:val="0"/>
                <w:i w:val="0"/>
                <w:color w:val="2E7D52"/>
                <w:sz w:val="17"/>
              </w:rPr>
              <w:t>$31.00 +/- $1.00</w:t>
            </w:r>
          </w:p>
        </w:tc>
        <w:tc>
          <w:tcPr>
            <w:tcW w:type="dxa" w:w="1872"/>
            <w:shd w:fill="FFFFFF"/>
            <w:vAlign w:val="center"/>
          </w:tcPr>
          <w:p>
            <w:pPr>
              <w:spacing w:after="0"/>
              <w:jc w:val="center"/>
            </w:pPr>
            <w:r>
              <w:rPr>
                <w:rFonts w:ascii="Times New Roman" w:hAnsi="Times New Roman"/>
                <w:b w:val="0"/>
                <w:i w:val="0"/>
                <w:sz w:val="17"/>
              </w:rPr>
              <w:t>$25.72</w:t>
            </w:r>
          </w:p>
        </w:tc>
        <w:tc>
          <w:tcPr>
            <w:tcW w:type="dxa" w:w="2448"/>
            <w:shd w:fill="FFFFFF"/>
            <w:vAlign w:val="center"/>
          </w:tcPr>
          <w:p>
            <w:pPr>
              <w:spacing w:after="0"/>
              <w:jc w:val="center"/>
            </w:pPr>
            <w:r>
              <w:rPr>
                <w:rFonts w:ascii="Times New Roman" w:hAnsi="Times New Roman"/>
                <w:b w:val="0"/>
                <w:i w:val="0"/>
                <w:color w:val="2E7D52"/>
                <w:sz w:val="17"/>
              </w:rPr>
              <w:t>+21% vs. Street</w:t>
            </w:r>
          </w:p>
        </w:tc>
      </w:tr>
      <w:tr>
        <w:tc>
          <w:tcPr>
            <w:tcW w:type="dxa" w:w="2016"/>
            <w:shd w:fill="F3F4F6"/>
            <w:vAlign w:val="center"/>
          </w:tcPr>
          <w:p>
            <w:pPr>
              <w:spacing w:after="0"/>
              <w:jc w:val="left"/>
            </w:pPr>
            <w:r>
              <w:rPr>
                <w:rFonts w:ascii="Times New Roman" w:hAnsi="Times New Roman"/>
                <w:b w:val="0"/>
                <w:i w:val="0"/>
                <w:sz w:val="17"/>
              </w:rPr>
              <w:t>Net Capex</w:t>
            </w:r>
          </w:p>
        </w:tc>
        <w:tc>
          <w:tcPr>
            <w:tcW w:type="dxa" w:w="2448"/>
            <w:shd w:fill="F3F4F6"/>
            <w:vAlign w:val="center"/>
          </w:tcPr>
          <w:p>
            <w:pPr>
              <w:spacing w:after="0"/>
              <w:jc w:val="center"/>
            </w:pPr>
            <w:r>
              <w:rPr>
                <w:rFonts w:ascii="Times New Roman" w:hAnsi="Times New Roman"/>
                <w:b w:val="0"/>
                <w:i w:val="0"/>
                <w:sz w:val="17"/>
              </w:rPr>
              <w:t>~$10B</w:t>
            </w:r>
          </w:p>
        </w:tc>
        <w:tc>
          <w:tcPr>
            <w:tcW w:type="dxa" w:w="1872"/>
            <w:shd w:fill="F3F4F6"/>
            <w:vAlign w:val="center"/>
          </w:tcPr>
          <w:p>
            <w:pPr>
              <w:spacing w:after="0"/>
              <w:jc w:val="center"/>
            </w:pPr>
            <w:r>
              <w:rPr>
                <w:rFonts w:ascii="Times New Roman" w:hAnsi="Times New Roman"/>
                <w:b w:val="0"/>
                <w:i w:val="0"/>
                <w:sz w:val="17"/>
              </w:rPr>
              <w:t>N/A</w:t>
            </w:r>
          </w:p>
        </w:tc>
        <w:tc>
          <w:tcPr>
            <w:tcW w:type="dxa" w:w="2448"/>
            <w:shd w:fill="F3F4F6"/>
            <w:vAlign w:val="center"/>
          </w:tcPr>
          <w:p>
            <w:pPr>
              <w:spacing w:after="0"/>
              <w:jc w:val="center"/>
            </w:pPr>
            <w:r>
              <w:rPr>
                <w:rFonts w:ascii="Times New Roman" w:hAnsi="Times New Roman"/>
                <w:b w:val="0"/>
                <w:i w:val="0"/>
                <w:sz w:val="17"/>
              </w:rPr>
              <w:t>FY2026 capex ~$27B</w:t>
            </w:r>
          </w:p>
        </w:tc>
      </w:tr>
    </w:tbl>
    <w:p>
      <w:pPr>
        <w:spacing w:before="40" w:after="80" w:line="264" w:lineRule="auto"/>
        <w:jc w:val="left"/>
      </w:pPr>
      <w:r>
        <w:rPr>
          <w:rFonts w:ascii="Times New Roman" w:hAnsi="Times New Roman"/>
          <w:b w:val="0"/>
          <w:i/>
          <w:color w:val="6B7280"/>
          <w:sz w:val="15"/>
        </w:rPr>
        <w:t xml:space="preserve">Source: </w:t>
      </w:r>
      <w:hyperlink r:id="rId11">
        <w:r>
          <w:rPr>
            <w:color w:val="1A6B8A"/>
            <w:u w:val="single"/>
          </w:rPr>
          <w:t>Micron press release</w:t>
        </w:r>
      </w:hyperlink>
      <w:r>
        <w:rPr>
          <w:rFonts w:ascii="Times New Roman" w:hAnsi="Times New Roman"/>
          <w:b w:val="0"/>
          <w:i/>
          <w:color w:val="6B7280"/>
          <w:sz w:val="15"/>
        </w:rPr>
        <w:t xml:space="preserve">; </w:t>
      </w:r>
      <w:hyperlink r:id="rId16">
        <w:r>
          <w:rPr>
            <w:color w:val="1A6B8A"/>
            <w:u w:val="single"/>
          </w:rPr>
          <w:t>Prepared remarks</w:t>
        </w:r>
      </w:hyperlink>
      <w:r>
        <w:rPr>
          <w:rFonts w:ascii="Times New Roman" w:hAnsi="Times New Roman"/>
          <w:b w:val="0"/>
          <w:i/>
          <w:color w:val="6B7280"/>
          <w:sz w:val="15"/>
        </w:rPr>
        <w:t xml:space="preserve">; </w:t>
      </w:r>
      <w:hyperlink r:id="rId12">
        <w:r>
          <w:rPr>
            <w:color w:val="1A6B8A"/>
            <w:u w:val="single"/>
          </w:rPr>
          <w:t>IBD / FactSet</w:t>
        </w:r>
      </w:hyperlink>
    </w:p>
    <w:p>
      <w:pPr>
        <w:keepNext/>
        <w:spacing w:before="80" w:after="40" w:line="264" w:lineRule="auto"/>
        <w:jc w:val="center"/>
      </w:pPr>
      <w:r>
        <w:rPr>
          <w:rFonts w:ascii="Times New Roman" w:hAnsi="Times New Roman"/>
          <w:b/>
          <w:i w:val="0"/>
          <w:color w:val="111827"/>
          <w:sz w:val="17"/>
        </w:rPr>
        <w:t>Figure 7 - Q4 guidance vs. Street</w:t>
      </w:r>
    </w:p>
    <w:p>
      <w:pPr>
        <w:keepNext/>
        <w:jc w:val="center"/>
      </w:pPr>
      <w:r>
        <w:drawing>
          <wp:inline xmlns:a="http://schemas.openxmlformats.org/drawingml/2006/main" xmlns:pic="http://schemas.openxmlformats.org/drawingml/2006/picture">
            <wp:extent cx="5349240" cy="3011424"/>
            <wp:docPr id="7" name="Picture 7"/>
            <wp:cNvGraphicFramePr>
              <a:graphicFrameLocks noChangeAspect="1"/>
            </wp:cNvGraphicFramePr>
            <a:graphic>
              <a:graphicData uri="http://schemas.openxmlformats.org/drawingml/2006/picture">
                <pic:pic>
                  <pic:nvPicPr>
                    <pic:cNvPr id="0" name="mu_chart9_guidance.png"/>
                    <pic:cNvPicPr/>
                  </pic:nvPicPr>
                  <pic:blipFill>
                    <a:blip r:embed="rId22"/>
                    <a:stretch>
                      <a:fillRect/>
                    </a:stretch>
                  </pic:blipFill>
                  <pic:spPr>
                    <a:xfrm>
                      <a:off x="0" y="0"/>
                      <a:ext cx="5349240" cy="3011424"/>
                    </a:xfrm>
                    <a:prstGeom prst="rect"/>
                  </pic:spPr>
                </pic:pic>
              </a:graphicData>
            </a:graphic>
          </wp:inline>
        </w:drawing>
      </w:r>
    </w:p>
    <w:p>
      <w:pPr>
        <w:spacing w:before="40" w:after="80" w:line="264" w:lineRule="auto"/>
        <w:jc w:val="left"/>
      </w:pPr>
      <w:r>
        <w:rPr>
          <w:rFonts w:ascii="Times New Roman" w:hAnsi="Times New Roman"/>
          <w:b w:val="0"/>
          <w:i/>
          <w:color w:val="6B7280"/>
          <w:sz w:val="15"/>
        </w:rPr>
        <w:t xml:space="preserve">Source: </w:t>
      </w:r>
      <w:hyperlink r:id="rId11">
        <w:r>
          <w:rPr>
            <w:color w:val="1A6B8A"/>
            <w:u w:val="single"/>
          </w:rPr>
          <w:t>Micron press release</w:t>
        </w:r>
      </w:hyperlink>
      <w:r>
        <w:rPr>
          <w:rFonts w:ascii="Times New Roman" w:hAnsi="Times New Roman"/>
          <w:b w:val="0"/>
          <w:i/>
          <w:color w:val="6B7280"/>
          <w:sz w:val="15"/>
        </w:rPr>
        <w:t xml:space="preserve">; </w:t>
      </w:r>
      <w:hyperlink r:id="rId12">
        <w:r>
          <w:rPr>
            <w:color w:val="1A6B8A"/>
            <w:u w:val="single"/>
          </w:rPr>
          <w:t>IBD / FactSet</w:t>
        </w:r>
      </w:hyperlink>
    </w:p>
    <w:p>
      <w:pPr>
        <w:spacing w:before="140" w:after="60" w:line="264" w:lineRule="auto"/>
        <w:jc w:val="left"/>
      </w:pPr>
      <w:r>
        <w:rPr>
          <w:rFonts w:ascii="Times New Roman" w:hAnsi="Times New Roman"/>
          <w:b/>
          <w:i w:val="0"/>
          <w:color w:val="111827"/>
          <w:sz w:val="22"/>
        </w:rPr>
        <w:t>SCA visibility is the new thesis variable</w:t>
      </w:r>
    </w:p>
    <w:p>
      <w:pPr>
        <w:spacing w:before="0" w:after="100" w:line="264" w:lineRule="auto"/>
        <w:jc w:val="left"/>
      </w:pPr>
      <w:r>
        <w:rPr>
          <w:rFonts w:ascii="Times New Roman" w:hAnsi="Times New Roman"/>
          <w:b w:val="0"/>
          <w:i w:val="0"/>
          <w:sz w:val="21"/>
        </w:rPr>
        <w:t>The most important qualitative update was the Strategic Customer Agreement framework. Micron disclosed 16 signed agreements. RPO at FQ3 was over $5B; including agreements executed after quarter-end, RPO is approximately $100B based on minimum committed volumes and minimum pricing. Management expects $22B of cash deposits and related commitments, with approximately $18B in cash deposits.</w:t>
      </w:r>
    </w:p>
    <w:p>
      <w:pPr>
        <w:keepNext/>
        <w:spacing w:before="80" w:after="40" w:line="264" w:lineRule="auto"/>
        <w:jc w:val="center"/>
      </w:pPr>
      <w:r>
        <w:rPr>
          <w:rFonts w:ascii="Times New Roman" w:hAnsi="Times New Roman"/>
          <w:b/>
          <w:i w:val="0"/>
          <w:color w:val="111827"/>
          <w:sz w:val="17"/>
        </w:rPr>
        <w:t>Figure 8 - Strategic customer agreement visibility</w:t>
      </w:r>
    </w:p>
    <w:p>
      <w:pPr>
        <w:keepNext/>
        <w:jc w:val="center"/>
      </w:pPr>
      <w:r>
        <w:drawing>
          <wp:inline xmlns:a="http://schemas.openxmlformats.org/drawingml/2006/main" xmlns:pic="http://schemas.openxmlformats.org/drawingml/2006/picture">
            <wp:extent cx="5349240" cy="3011424"/>
            <wp:docPr id="8" name="Picture 8"/>
            <wp:cNvGraphicFramePr>
              <a:graphicFrameLocks noChangeAspect="1"/>
            </wp:cNvGraphicFramePr>
            <a:graphic>
              <a:graphicData uri="http://schemas.openxmlformats.org/drawingml/2006/picture">
                <pic:pic>
                  <pic:nvPicPr>
                    <pic:cNvPr id="0" name="mu_chart8_sca_visibility.png"/>
                    <pic:cNvPicPr/>
                  </pic:nvPicPr>
                  <pic:blipFill>
                    <a:blip r:embed="rId23"/>
                    <a:stretch>
                      <a:fillRect/>
                    </a:stretch>
                  </pic:blipFill>
                  <pic:spPr>
                    <a:xfrm>
                      <a:off x="0" y="0"/>
                      <a:ext cx="5349240" cy="3011424"/>
                    </a:xfrm>
                    <a:prstGeom prst="rect"/>
                  </pic:spPr>
                </pic:pic>
              </a:graphicData>
            </a:graphic>
          </wp:inline>
        </w:drawing>
      </w:r>
    </w:p>
    <w:p>
      <w:pPr>
        <w:spacing w:before="40" w:after="80" w:line="264" w:lineRule="auto"/>
        <w:jc w:val="left"/>
      </w:pPr>
      <w:r>
        <w:rPr>
          <w:rFonts w:ascii="Times New Roman" w:hAnsi="Times New Roman"/>
          <w:b w:val="0"/>
          <w:i/>
          <w:color w:val="6B7280"/>
          <w:sz w:val="15"/>
        </w:rPr>
        <w:t xml:space="preserve">Source: </w:t>
      </w:r>
      <w:hyperlink r:id="rId16">
        <w:r>
          <w:rPr>
            <w:color w:val="1A6B8A"/>
            <w:u w:val="single"/>
          </w:rPr>
          <w:t>Prepared remarks</w:t>
        </w:r>
      </w:hyperlink>
    </w:p>
    <w:p>
      <w:r>
        <w:br w:type="page"/>
      </w:r>
    </w:p>
    <w:p>
      <w:pPr>
        <w:spacing w:before="200" w:after="80" w:line="264" w:lineRule="auto"/>
        <w:jc w:val="left"/>
        <w:pBdr>
          <w:bottom w:val="single" w:sz="6" w:space="4" w:color="1A6B8A"/>
        </w:pBdr>
      </w:pPr>
      <w:r>
        <w:rPr>
          <w:rFonts w:ascii="Times New Roman" w:hAnsi="Times New Roman"/>
          <w:b/>
          <w:i w:val="0"/>
          <w:color w:val="1A6B8A"/>
          <w:sz w:val="26"/>
        </w:rPr>
        <w:t>UPDATED INVESTMENT THESIS</w:t>
      </w:r>
    </w:p>
    <w:p>
      <w:pPr>
        <w:pStyle w:val="ListBullet"/>
        <w:spacing w:after="80"/>
      </w:pPr>
      <w:r>
        <w:rPr>
          <w:rFonts w:ascii="Times New Roman" w:hAnsi="Times New Roman"/>
          <w:b/>
          <w:i w:val="0"/>
          <w:color w:val="1A6B8A"/>
          <w:sz w:val="21"/>
        </w:rPr>
        <w:t xml:space="preserve">Thesis pillar 1 - AI memory has become strategic infrastructure. </w:t>
      </w:r>
      <w:r>
        <w:rPr>
          <w:rFonts w:ascii="Times New Roman" w:hAnsi="Times New Roman"/>
          <w:b w:val="0"/>
          <w:i w:val="0"/>
          <w:sz w:val="21"/>
        </w:rPr>
        <w:t>The quarter confirms that HBM, advanced DRAM, and data-center NAND are no longer simply cyclical components. They are becoming bottleneck resources in AI infrastructure.</w:t>
      </w:r>
    </w:p>
    <w:p>
      <w:pPr>
        <w:pStyle w:val="ListBullet"/>
        <w:spacing w:after="80"/>
      </w:pPr>
      <w:r>
        <w:rPr>
          <w:rFonts w:ascii="Times New Roman" w:hAnsi="Times New Roman"/>
          <w:b/>
          <w:i w:val="0"/>
          <w:color w:val="1A6B8A"/>
          <w:sz w:val="21"/>
        </w:rPr>
        <w:t xml:space="preserve">Thesis pillar 2 - Contracted demand supports a higher multiple. </w:t>
      </w:r>
      <w:r>
        <w:rPr>
          <w:rFonts w:ascii="Times New Roman" w:hAnsi="Times New Roman"/>
          <w:b w:val="0"/>
          <w:i w:val="0"/>
          <w:sz w:val="21"/>
        </w:rPr>
        <w:t>SCAs do not remove cyclicality, but they add minimum-volume, minimum-price visibility that should reduce the depth of future downcycles.</w:t>
      </w:r>
    </w:p>
    <w:p>
      <w:pPr>
        <w:pStyle w:val="ListBullet"/>
        <w:spacing w:after="80"/>
      </w:pPr>
      <w:r>
        <w:rPr>
          <w:rFonts w:ascii="Times New Roman" w:hAnsi="Times New Roman"/>
          <w:b/>
          <w:i w:val="0"/>
          <w:color w:val="1A6B8A"/>
          <w:sz w:val="21"/>
        </w:rPr>
        <w:t xml:space="preserve">Thesis pillar 3 - Supply will take years, not quarters, to catch up. </w:t>
      </w:r>
      <w:r>
        <w:rPr>
          <w:rFonts w:ascii="Times New Roman" w:hAnsi="Times New Roman"/>
          <w:b w:val="0"/>
          <w:i w:val="0"/>
          <w:sz w:val="21"/>
        </w:rPr>
        <w:t>Prepared remarks state that DRAM and NAND supply-demand conditions are expected to remain tight beyond calendar 2027. New U.S., Taiwan, Singapore, and Japan capacity helps but is not immediate.</w:t>
      </w:r>
    </w:p>
    <w:p>
      <w:pPr>
        <w:pStyle w:val="ListBullet"/>
        <w:spacing w:after="80"/>
      </w:pPr>
      <w:r>
        <w:rPr>
          <w:rFonts w:ascii="Times New Roman" w:hAnsi="Times New Roman"/>
          <w:b/>
          <w:i w:val="0"/>
          <w:color w:val="1A6B8A"/>
          <w:sz w:val="21"/>
        </w:rPr>
        <w:t xml:space="preserve">Thesis pillar 4 - Capital intensity rises, but cash flow rises faster. </w:t>
      </w:r>
      <w:r>
        <w:rPr>
          <w:rFonts w:ascii="Times New Roman" w:hAnsi="Times New Roman"/>
          <w:b w:val="0"/>
          <w:i w:val="0"/>
          <w:sz w:val="21"/>
        </w:rPr>
        <w:t>FY2026 capex is now expected at roughly $27B, yet Q3 FCF was $18.3B and management expects FQ4 FCF to increase substantially again.</w:t>
      </w:r>
    </w:p>
    <w:p>
      <w:pPr>
        <w:spacing w:before="140" w:after="60" w:line="264" w:lineRule="auto"/>
        <w:jc w:val="left"/>
      </w:pPr>
      <w:r>
        <w:rPr>
          <w:rFonts w:ascii="Times New Roman" w:hAnsi="Times New Roman"/>
          <w:b/>
          <w:i w:val="0"/>
          <w:color w:val="111827"/>
          <w:sz w:val="22"/>
        </w:rPr>
        <w:t>Risks</w:t>
      </w:r>
    </w:p>
    <w:p>
      <w:pPr>
        <w:pStyle w:val="ListBullet"/>
        <w:spacing w:after="80"/>
      </w:pPr>
      <w:r>
        <w:rPr>
          <w:rFonts w:ascii="Times New Roman" w:hAnsi="Times New Roman"/>
          <w:b/>
          <w:i w:val="0"/>
          <w:color w:val="C0392B"/>
          <w:sz w:val="21"/>
        </w:rPr>
        <w:t xml:space="preserve">Customer behavior risk: </w:t>
      </w:r>
      <w:r>
        <w:rPr>
          <w:rFonts w:ascii="Times New Roman" w:hAnsi="Times New Roman"/>
          <w:b w:val="0"/>
          <w:i w:val="0"/>
          <w:sz w:val="21"/>
        </w:rPr>
        <w:t>High memory prices could push hyperscalers, OEMs, and AI accelerator vendors to optimize memory usage or delay deployments.</w:t>
      </w:r>
    </w:p>
    <w:p>
      <w:pPr>
        <w:pStyle w:val="ListBullet"/>
        <w:spacing w:after="80"/>
      </w:pPr>
      <w:r>
        <w:rPr>
          <w:rFonts w:ascii="Times New Roman" w:hAnsi="Times New Roman"/>
          <w:b/>
          <w:i w:val="0"/>
          <w:color w:val="C0392B"/>
          <w:sz w:val="21"/>
        </w:rPr>
        <w:t xml:space="preserve">Cycle risk: </w:t>
      </w:r>
      <w:r>
        <w:rPr>
          <w:rFonts w:ascii="Times New Roman" w:hAnsi="Times New Roman"/>
          <w:b w:val="0"/>
          <w:i w:val="0"/>
          <w:sz w:val="21"/>
        </w:rPr>
        <w:t>Memory remains a cyclical market. If supply additions arrive faster than demand, today’s margin structure could compress quickly.</w:t>
      </w:r>
    </w:p>
    <w:p>
      <w:pPr>
        <w:pStyle w:val="ListBullet"/>
        <w:spacing w:after="80"/>
      </w:pPr>
      <w:r>
        <w:rPr>
          <w:rFonts w:ascii="Times New Roman" w:hAnsi="Times New Roman"/>
          <w:b/>
          <w:i w:val="0"/>
          <w:color w:val="C0392B"/>
          <w:sz w:val="21"/>
        </w:rPr>
        <w:t xml:space="preserve">Geopolitical risk: </w:t>
      </w:r>
      <w:r>
        <w:rPr>
          <w:rFonts w:ascii="Times New Roman" w:hAnsi="Times New Roman"/>
          <w:b w:val="0"/>
          <w:i w:val="0"/>
          <w:sz w:val="21"/>
        </w:rPr>
        <w:t>Micron’s global footprint and China exposure remain vulnerable to export controls, trade policy changes, and customer restrictions.</w:t>
      </w:r>
    </w:p>
    <w:p>
      <w:pPr>
        <w:pStyle w:val="ListBullet"/>
        <w:spacing w:after="80"/>
      </w:pPr>
      <w:r>
        <w:rPr>
          <w:rFonts w:ascii="Times New Roman" w:hAnsi="Times New Roman"/>
          <w:b/>
          <w:i w:val="0"/>
          <w:color w:val="C0392B"/>
          <w:sz w:val="21"/>
        </w:rPr>
        <w:t xml:space="preserve">Valuation risk: </w:t>
      </w:r>
      <w:r>
        <w:rPr>
          <w:rFonts w:ascii="Times New Roman" w:hAnsi="Times New Roman"/>
          <w:b w:val="0"/>
          <w:i w:val="0"/>
          <w:sz w:val="21"/>
        </w:rPr>
        <w:t>After a sharp stock move, the market is already pricing in a significant duration of supernormal earnings.</w:t>
      </w:r>
    </w:p>
    <w:p>
      <w:r>
        <w:br w:type="page"/>
      </w:r>
    </w:p>
    <w:p>
      <w:pPr>
        <w:spacing w:before="200" w:after="80" w:line="264" w:lineRule="auto"/>
        <w:jc w:val="left"/>
        <w:pBdr>
          <w:bottom w:val="single" w:sz="6" w:space="4" w:color="1A6B8A"/>
        </w:pBdr>
      </w:pPr>
      <w:r>
        <w:rPr>
          <w:rFonts w:ascii="Times New Roman" w:hAnsi="Times New Roman"/>
          <w:b/>
          <w:i w:val="0"/>
          <w:color w:val="1A6B8A"/>
          <w:sz w:val="26"/>
        </w:rPr>
        <w:t>VALUATION AND ESTIMATE REVISIONS</w:t>
      </w:r>
    </w:p>
    <w:p>
      <w:pPr>
        <w:spacing w:before="140" w:after="60" w:line="264" w:lineRule="auto"/>
        <w:jc w:val="left"/>
      </w:pPr>
      <w:r>
        <w:rPr>
          <w:rFonts w:ascii="Times New Roman" w:hAnsi="Times New Roman"/>
          <w:b/>
          <w:i w:val="0"/>
          <w:color w:val="111827"/>
          <w:sz w:val="22"/>
        </w:rPr>
        <w:t>Updated model</w:t>
      </w:r>
    </w:p>
    <w:p>
      <w:pPr>
        <w:spacing w:before="0" w:after="100" w:line="264" w:lineRule="auto"/>
        <w:jc w:val="left"/>
      </w:pPr>
      <w:r>
        <w:rPr>
          <w:rFonts w:ascii="Times New Roman" w:hAnsi="Times New Roman"/>
          <w:b w:val="0"/>
          <w:i w:val="0"/>
          <w:sz w:val="21"/>
        </w:rPr>
        <w:t>We raise our illustrative FY2026 and FY2027 model materially. Q1-Q3 FY2026 non-GAAP EPS already totals approximately $42.09, and FQ4 guidance implies full-year non-GAAP EPS of roughly $73. The old model was anchored to a faster normalization of pricing; the new model assumes tight supply extends through 2027, in line with management commentary.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376"/>
            <w:shd w:fill="1A6B8A"/>
            <w:vAlign w:val="center"/>
          </w:tcPr>
          <w:p>
            <w:pPr>
              <w:spacing w:after="0"/>
              <w:jc w:val="center"/>
            </w:pPr>
            <w:r>
              <w:rPr>
                <w:rFonts w:ascii="Times New Roman" w:hAnsi="Times New Roman"/>
                <w:b/>
                <w:i w:val="0"/>
                <w:color w:val="FFFFFF"/>
                <w:sz w:val="17"/>
              </w:rPr>
              <w:t>Metric</w:t>
            </w:r>
          </w:p>
        </w:tc>
        <w:tc>
          <w:tcPr>
            <w:tcW w:type="dxa" w:w="1728"/>
            <w:shd w:fill="1A6B8A"/>
            <w:vAlign w:val="center"/>
          </w:tcPr>
          <w:p>
            <w:pPr>
              <w:spacing w:after="0"/>
              <w:jc w:val="center"/>
            </w:pPr>
            <w:r>
              <w:rPr>
                <w:rFonts w:ascii="Times New Roman" w:hAnsi="Times New Roman"/>
                <w:b/>
                <w:i w:val="0"/>
                <w:color w:val="FFFFFF"/>
                <w:sz w:val="17"/>
              </w:rPr>
              <w:t>Old FY2026E</w:t>
            </w:r>
          </w:p>
        </w:tc>
        <w:tc>
          <w:tcPr>
            <w:tcW w:type="dxa" w:w="1728"/>
            <w:shd w:fill="1A6B8A"/>
            <w:vAlign w:val="center"/>
          </w:tcPr>
          <w:p>
            <w:pPr>
              <w:spacing w:after="0"/>
              <w:jc w:val="center"/>
            </w:pPr>
            <w:r>
              <w:rPr>
                <w:rFonts w:ascii="Times New Roman" w:hAnsi="Times New Roman"/>
                <w:b/>
                <w:i w:val="0"/>
                <w:color w:val="FFFFFF"/>
                <w:sz w:val="17"/>
              </w:rPr>
              <w:t>New FY2026E</w:t>
            </w:r>
          </w:p>
        </w:tc>
        <w:tc>
          <w:tcPr>
            <w:tcW w:type="dxa" w:w="1440"/>
            <w:shd w:fill="1A6B8A"/>
            <w:vAlign w:val="center"/>
          </w:tcPr>
          <w:p>
            <w:pPr>
              <w:spacing w:after="0"/>
              <w:jc w:val="center"/>
            </w:pPr>
            <w:r>
              <w:rPr>
                <w:rFonts w:ascii="Times New Roman" w:hAnsi="Times New Roman"/>
                <w:b/>
                <w:i w:val="0"/>
                <w:color w:val="FFFFFF"/>
                <w:sz w:val="17"/>
              </w:rPr>
              <w:t>Change</w:t>
            </w:r>
          </w:p>
        </w:tc>
        <w:tc>
          <w:tcPr>
            <w:tcW w:type="dxa" w:w="1584"/>
            <w:shd w:fill="1A6B8A"/>
            <w:vAlign w:val="center"/>
          </w:tcPr>
          <w:p>
            <w:pPr>
              <w:spacing w:after="0"/>
              <w:jc w:val="center"/>
            </w:pPr>
            <w:r>
              <w:rPr>
                <w:rFonts w:ascii="Times New Roman" w:hAnsi="Times New Roman"/>
                <w:b/>
                <w:i w:val="0"/>
                <w:color w:val="FFFFFF"/>
                <w:sz w:val="17"/>
              </w:rPr>
              <w:t>FY2027E</w:t>
            </w:r>
          </w:p>
        </w:tc>
      </w:tr>
      <w:tr>
        <w:tc>
          <w:tcPr>
            <w:tcW w:type="dxa" w:w="2376"/>
            <w:shd w:fill="FFFFFF"/>
            <w:vAlign w:val="center"/>
          </w:tcPr>
          <w:p>
            <w:pPr>
              <w:spacing w:after="0"/>
              <w:jc w:val="left"/>
            </w:pPr>
            <w:r>
              <w:rPr>
                <w:rFonts w:ascii="Times New Roman" w:hAnsi="Times New Roman"/>
                <w:b w:val="0"/>
                <w:i w:val="0"/>
                <w:sz w:val="17"/>
              </w:rPr>
              <w:t>Revenue ($B)</w:t>
            </w:r>
          </w:p>
        </w:tc>
        <w:tc>
          <w:tcPr>
            <w:tcW w:type="dxa" w:w="1728"/>
            <w:shd w:fill="FFFFFF"/>
            <w:vAlign w:val="center"/>
          </w:tcPr>
          <w:p>
            <w:pPr>
              <w:spacing w:after="0"/>
              <w:jc w:val="center"/>
            </w:pPr>
            <w:r>
              <w:rPr>
                <w:rFonts w:ascii="Times New Roman" w:hAnsi="Times New Roman"/>
                <w:b w:val="0"/>
                <w:i w:val="0"/>
                <w:sz w:val="17"/>
              </w:rPr>
              <w:t>112.0</w:t>
            </w:r>
          </w:p>
        </w:tc>
        <w:tc>
          <w:tcPr>
            <w:tcW w:type="dxa" w:w="1728"/>
            <w:shd w:fill="FFFFFF"/>
            <w:vAlign w:val="center"/>
          </w:tcPr>
          <w:p>
            <w:pPr>
              <w:spacing w:after="0"/>
              <w:jc w:val="center"/>
            </w:pPr>
            <w:r>
              <w:rPr>
                <w:rFonts w:ascii="Times New Roman" w:hAnsi="Times New Roman"/>
                <w:b w:val="0"/>
                <w:i w:val="0"/>
                <w:sz w:val="17"/>
              </w:rPr>
              <w:t>129.0</w:t>
            </w:r>
          </w:p>
        </w:tc>
        <w:tc>
          <w:tcPr>
            <w:tcW w:type="dxa" w:w="1440"/>
            <w:shd w:fill="FFFFFF"/>
            <w:vAlign w:val="center"/>
          </w:tcPr>
          <w:p>
            <w:pPr>
              <w:spacing w:after="0"/>
              <w:jc w:val="center"/>
            </w:pPr>
            <w:r>
              <w:rPr>
                <w:rFonts w:ascii="Times New Roman" w:hAnsi="Times New Roman"/>
                <w:b w:val="0"/>
                <w:i w:val="0"/>
                <w:color w:val="2E7D52"/>
                <w:sz w:val="17"/>
              </w:rPr>
              <w:t>+15%</w:t>
            </w:r>
          </w:p>
        </w:tc>
        <w:tc>
          <w:tcPr>
            <w:tcW w:type="dxa" w:w="1584"/>
            <w:shd w:fill="FFFFFF"/>
            <w:vAlign w:val="center"/>
          </w:tcPr>
          <w:p>
            <w:pPr>
              <w:spacing w:after="0"/>
              <w:jc w:val="center"/>
            </w:pPr>
            <w:r>
              <w:rPr>
                <w:rFonts w:ascii="Times New Roman" w:hAnsi="Times New Roman"/>
                <w:b w:val="0"/>
                <w:i w:val="0"/>
                <w:sz w:val="17"/>
              </w:rPr>
              <w:t>175.0</w:t>
            </w:r>
          </w:p>
        </w:tc>
      </w:tr>
      <w:tr>
        <w:tc>
          <w:tcPr>
            <w:tcW w:type="dxa" w:w="2376"/>
            <w:shd w:fill="F3F4F6"/>
            <w:vAlign w:val="center"/>
          </w:tcPr>
          <w:p>
            <w:pPr>
              <w:spacing w:after="0"/>
              <w:jc w:val="left"/>
            </w:pPr>
            <w:r>
              <w:rPr>
                <w:rFonts w:ascii="Times New Roman" w:hAnsi="Times New Roman"/>
                <w:b w:val="0"/>
                <w:i w:val="0"/>
                <w:sz w:val="17"/>
              </w:rPr>
              <w:t>Gross Margin</w:t>
            </w:r>
          </w:p>
        </w:tc>
        <w:tc>
          <w:tcPr>
            <w:tcW w:type="dxa" w:w="1728"/>
            <w:shd w:fill="F3F4F6"/>
            <w:vAlign w:val="center"/>
          </w:tcPr>
          <w:p>
            <w:pPr>
              <w:spacing w:after="0"/>
              <w:jc w:val="center"/>
            </w:pPr>
            <w:r>
              <w:rPr>
                <w:rFonts w:ascii="Times New Roman" w:hAnsi="Times New Roman"/>
                <w:b w:val="0"/>
                <w:i w:val="0"/>
                <w:sz w:val="17"/>
              </w:rPr>
              <w:t>78.0</w:t>
            </w:r>
          </w:p>
        </w:tc>
        <w:tc>
          <w:tcPr>
            <w:tcW w:type="dxa" w:w="1728"/>
            <w:shd w:fill="F3F4F6"/>
            <w:vAlign w:val="center"/>
          </w:tcPr>
          <w:p>
            <w:pPr>
              <w:spacing w:after="0"/>
              <w:jc w:val="center"/>
            </w:pPr>
            <w:r>
              <w:rPr>
                <w:rFonts w:ascii="Times New Roman" w:hAnsi="Times New Roman"/>
                <w:b w:val="0"/>
                <w:i w:val="0"/>
                <w:sz w:val="17"/>
              </w:rPr>
              <w:t>80.5</w:t>
            </w:r>
          </w:p>
        </w:tc>
        <w:tc>
          <w:tcPr>
            <w:tcW w:type="dxa" w:w="1440"/>
            <w:shd w:fill="F3F4F6"/>
            <w:vAlign w:val="center"/>
          </w:tcPr>
          <w:p>
            <w:pPr>
              <w:spacing w:after="0"/>
              <w:jc w:val="center"/>
            </w:pPr>
            <w:r>
              <w:rPr>
                <w:rFonts w:ascii="Times New Roman" w:hAnsi="Times New Roman"/>
                <w:b w:val="0"/>
                <w:i w:val="0"/>
                <w:color w:val="2E7D52"/>
                <w:sz w:val="17"/>
              </w:rPr>
              <w:t>+3%</w:t>
            </w:r>
          </w:p>
        </w:tc>
        <w:tc>
          <w:tcPr>
            <w:tcW w:type="dxa" w:w="1584"/>
            <w:shd w:fill="F3F4F6"/>
            <w:vAlign w:val="center"/>
          </w:tcPr>
          <w:p>
            <w:pPr>
              <w:spacing w:after="0"/>
              <w:jc w:val="center"/>
            </w:pPr>
            <w:r>
              <w:rPr>
                <w:rFonts w:ascii="Times New Roman" w:hAnsi="Times New Roman"/>
                <w:b w:val="0"/>
                <w:i w:val="0"/>
                <w:sz w:val="17"/>
              </w:rPr>
              <w:t>82.0</w:t>
            </w:r>
          </w:p>
        </w:tc>
      </w:tr>
      <w:tr>
        <w:tc>
          <w:tcPr>
            <w:tcW w:type="dxa" w:w="2376"/>
            <w:shd w:fill="FFFFFF"/>
            <w:vAlign w:val="center"/>
          </w:tcPr>
          <w:p>
            <w:pPr>
              <w:spacing w:after="0"/>
              <w:jc w:val="left"/>
            </w:pPr>
            <w:r>
              <w:rPr>
                <w:rFonts w:ascii="Times New Roman" w:hAnsi="Times New Roman"/>
                <w:b w:val="0"/>
                <w:i w:val="0"/>
                <w:sz w:val="17"/>
              </w:rPr>
              <w:t>Non-GAAP EPS</w:t>
            </w:r>
          </w:p>
        </w:tc>
        <w:tc>
          <w:tcPr>
            <w:tcW w:type="dxa" w:w="1728"/>
            <w:shd w:fill="FFFFFF"/>
            <w:vAlign w:val="center"/>
          </w:tcPr>
          <w:p>
            <w:pPr>
              <w:spacing w:after="0"/>
              <w:jc w:val="center"/>
            </w:pPr>
            <w:r>
              <w:rPr>
                <w:rFonts w:ascii="Times New Roman" w:hAnsi="Times New Roman"/>
                <w:b w:val="0"/>
                <w:i w:val="0"/>
                <w:sz w:val="17"/>
              </w:rPr>
              <w:t>60.0</w:t>
            </w:r>
          </w:p>
        </w:tc>
        <w:tc>
          <w:tcPr>
            <w:tcW w:type="dxa" w:w="1728"/>
            <w:shd w:fill="FFFFFF"/>
            <w:vAlign w:val="center"/>
          </w:tcPr>
          <w:p>
            <w:pPr>
              <w:spacing w:after="0"/>
              <w:jc w:val="center"/>
            </w:pPr>
            <w:r>
              <w:rPr>
                <w:rFonts w:ascii="Times New Roman" w:hAnsi="Times New Roman"/>
                <w:b w:val="0"/>
                <w:i w:val="0"/>
                <w:sz w:val="17"/>
              </w:rPr>
              <w:t>73.1</w:t>
            </w:r>
          </w:p>
        </w:tc>
        <w:tc>
          <w:tcPr>
            <w:tcW w:type="dxa" w:w="1440"/>
            <w:shd w:fill="FFFFFF"/>
            <w:vAlign w:val="center"/>
          </w:tcPr>
          <w:p>
            <w:pPr>
              <w:spacing w:after="0"/>
              <w:jc w:val="center"/>
            </w:pPr>
            <w:r>
              <w:rPr>
                <w:rFonts w:ascii="Times New Roman" w:hAnsi="Times New Roman"/>
                <w:b w:val="0"/>
                <w:i w:val="0"/>
                <w:color w:val="2E7D52"/>
                <w:sz w:val="17"/>
              </w:rPr>
              <w:t>+22%</w:t>
            </w:r>
          </w:p>
        </w:tc>
        <w:tc>
          <w:tcPr>
            <w:tcW w:type="dxa" w:w="1584"/>
            <w:shd w:fill="FFFFFF"/>
            <w:vAlign w:val="center"/>
          </w:tcPr>
          <w:p>
            <w:pPr>
              <w:spacing w:after="0"/>
              <w:jc w:val="center"/>
            </w:pPr>
            <w:r>
              <w:rPr>
                <w:rFonts w:ascii="Times New Roman" w:hAnsi="Times New Roman"/>
                <w:b w:val="0"/>
                <w:i w:val="0"/>
                <w:sz w:val="17"/>
              </w:rPr>
              <w:t>115.0</w:t>
            </w:r>
          </w:p>
        </w:tc>
      </w:tr>
      <w:tr>
        <w:tc>
          <w:tcPr>
            <w:tcW w:type="dxa" w:w="2376"/>
            <w:shd w:fill="F3F4F6"/>
            <w:vAlign w:val="center"/>
          </w:tcPr>
          <w:p>
            <w:pPr>
              <w:spacing w:after="0"/>
              <w:jc w:val="left"/>
            </w:pPr>
            <w:r>
              <w:rPr>
                <w:rFonts w:ascii="Times New Roman" w:hAnsi="Times New Roman"/>
                <w:b w:val="0"/>
                <w:i w:val="0"/>
                <w:sz w:val="17"/>
              </w:rPr>
              <w:t>Free Cash Flow ($B)</w:t>
            </w:r>
          </w:p>
        </w:tc>
        <w:tc>
          <w:tcPr>
            <w:tcW w:type="dxa" w:w="1728"/>
            <w:shd w:fill="F3F4F6"/>
            <w:vAlign w:val="center"/>
          </w:tcPr>
          <w:p>
            <w:pPr>
              <w:spacing w:after="0"/>
              <w:jc w:val="center"/>
            </w:pPr>
            <w:r>
              <w:rPr>
                <w:rFonts w:ascii="Times New Roman" w:hAnsi="Times New Roman"/>
                <w:b w:val="0"/>
                <w:i w:val="0"/>
                <w:sz w:val="17"/>
              </w:rPr>
              <w:t>42.0</w:t>
            </w:r>
          </w:p>
        </w:tc>
        <w:tc>
          <w:tcPr>
            <w:tcW w:type="dxa" w:w="1728"/>
            <w:shd w:fill="F3F4F6"/>
            <w:vAlign w:val="center"/>
          </w:tcPr>
          <w:p>
            <w:pPr>
              <w:spacing w:after="0"/>
              <w:jc w:val="center"/>
            </w:pPr>
            <w:r>
              <w:rPr>
                <w:rFonts w:ascii="Times New Roman" w:hAnsi="Times New Roman"/>
                <w:b w:val="0"/>
                <w:i w:val="0"/>
                <w:sz w:val="17"/>
              </w:rPr>
              <w:t>55.0</w:t>
            </w:r>
          </w:p>
        </w:tc>
        <w:tc>
          <w:tcPr>
            <w:tcW w:type="dxa" w:w="1440"/>
            <w:shd w:fill="F3F4F6"/>
            <w:vAlign w:val="center"/>
          </w:tcPr>
          <w:p>
            <w:pPr>
              <w:spacing w:after="0"/>
              <w:jc w:val="center"/>
            </w:pPr>
            <w:r>
              <w:rPr>
                <w:rFonts w:ascii="Times New Roman" w:hAnsi="Times New Roman"/>
                <w:b w:val="0"/>
                <w:i w:val="0"/>
                <w:color w:val="2E7D52"/>
                <w:sz w:val="17"/>
              </w:rPr>
              <w:t>+31%</w:t>
            </w:r>
          </w:p>
        </w:tc>
        <w:tc>
          <w:tcPr>
            <w:tcW w:type="dxa" w:w="1584"/>
            <w:shd w:fill="F3F4F6"/>
            <w:vAlign w:val="center"/>
          </w:tcPr>
          <w:p>
            <w:pPr>
              <w:spacing w:after="0"/>
              <w:jc w:val="center"/>
            </w:pPr>
            <w:r>
              <w:rPr>
                <w:rFonts w:ascii="Times New Roman" w:hAnsi="Times New Roman"/>
                <w:b w:val="0"/>
                <w:i w:val="0"/>
                <w:sz w:val="17"/>
              </w:rPr>
              <w:t>75.0</w:t>
            </w:r>
          </w:p>
        </w:tc>
      </w:tr>
    </w:tbl>
    <w:p>
      <w:pPr>
        <w:spacing w:before="40" w:after="80" w:line="264" w:lineRule="auto"/>
        <w:jc w:val="left"/>
      </w:pPr>
      <w:r>
        <w:rPr>
          <w:rFonts w:ascii="Times New Roman" w:hAnsi="Times New Roman"/>
          <w:b w:val="0"/>
          <w:i/>
          <w:color w:val="6B7280"/>
          <w:sz w:val="15"/>
        </w:rPr>
        <w:t xml:space="preserve">Source: </w:t>
      </w:r>
      <w:hyperlink r:id="rId14">
        <w:r>
          <w:rPr>
            <w:color w:val="1A6B8A"/>
            <w:u w:val="single"/>
          </w:rPr>
          <w:t>Company filings</w:t>
        </w:r>
      </w:hyperlink>
      <w:r>
        <w:rPr>
          <w:rFonts w:ascii="Times New Roman" w:hAnsi="Times New Roman"/>
          <w:b w:val="0"/>
          <w:i/>
          <w:color w:val="6B7280"/>
          <w:sz w:val="15"/>
        </w:rPr>
        <w:t xml:space="preserve">; </w:t>
      </w:r>
      <w:hyperlink r:id="rId16">
        <w:r>
          <w:rPr>
            <w:color w:val="1A6B8A"/>
            <w:u w:val="single"/>
          </w:rPr>
          <w:t>Micron prepared remarks</w:t>
        </w:r>
      </w:hyperlink>
      <w:r>
        <w:rPr>
          <w:rFonts w:ascii="Times New Roman" w:hAnsi="Times New Roman"/>
          <w:b w:val="0"/>
          <w:i/>
          <w:color w:val="6B7280"/>
          <w:sz w:val="15"/>
        </w:rPr>
        <w:t xml:space="preserve">; </w:t>
      </w:r>
      <w:hyperlink r:id="rId24">
        <w:r>
          <w:rPr>
            <w:color w:val="1A6B8A"/>
            <w:u w:val="single"/>
          </w:rPr>
          <w:t>Codex analysis</w:t>
        </w:r>
      </w:hyperlink>
    </w:p>
    <w:p>
      <w:pPr>
        <w:keepNext/>
        <w:spacing w:before="80" w:after="40" w:line="264" w:lineRule="auto"/>
        <w:jc w:val="center"/>
      </w:pPr>
      <w:r>
        <w:rPr>
          <w:rFonts w:ascii="Times New Roman" w:hAnsi="Times New Roman"/>
          <w:b/>
          <w:i w:val="0"/>
          <w:color w:val="111827"/>
          <w:sz w:val="17"/>
        </w:rPr>
        <w:t>Figure 9 - Estimate revisions and price target</w:t>
      </w:r>
    </w:p>
    <w:p>
      <w:pPr>
        <w:keepNext/>
        <w:jc w:val="center"/>
      </w:pPr>
      <w:r>
        <w:drawing>
          <wp:inline xmlns:a="http://schemas.openxmlformats.org/drawingml/2006/main" xmlns:pic="http://schemas.openxmlformats.org/drawingml/2006/picture">
            <wp:extent cx="5349240" cy="3011424"/>
            <wp:docPr id="9" name="Picture 9"/>
            <wp:cNvGraphicFramePr>
              <a:graphicFrameLocks noChangeAspect="1"/>
            </wp:cNvGraphicFramePr>
            <a:graphic>
              <a:graphicData uri="http://schemas.openxmlformats.org/drawingml/2006/picture">
                <pic:pic>
                  <pic:nvPicPr>
                    <pic:cNvPr id="0" name="mu_chart10_estimates_valuation.png"/>
                    <pic:cNvPicPr/>
                  </pic:nvPicPr>
                  <pic:blipFill>
                    <a:blip r:embed="rId25"/>
                    <a:stretch>
                      <a:fillRect/>
                    </a:stretch>
                  </pic:blipFill>
                  <pic:spPr>
                    <a:xfrm>
                      <a:off x="0" y="0"/>
                      <a:ext cx="5349240" cy="3011424"/>
                    </a:xfrm>
                    <a:prstGeom prst="rect"/>
                  </pic:spPr>
                </pic:pic>
              </a:graphicData>
            </a:graphic>
          </wp:inline>
        </w:drawing>
      </w:r>
    </w:p>
    <w:p>
      <w:pPr>
        <w:spacing w:before="40" w:after="80" w:line="264" w:lineRule="auto"/>
        <w:jc w:val="left"/>
      </w:pPr>
      <w:r>
        <w:rPr>
          <w:rFonts w:ascii="Times New Roman" w:hAnsi="Times New Roman"/>
          <w:b w:val="0"/>
          <w:i/>
          <w:color w:val="6B7280"/>
          <w:sz w:val="15"/>
        </w:rPr>
        <w:t xml:space="preserve">Source: </w:t>
      </w:r>
      <w:hyperlink r:id="rId14">
        <w:r>
          <w:rPr>
            <w:color w:val="1A6B8A"/>
            <w:u w:val="single"/>
          </w:rPr>
          <w:t>Company filings</w:t>
        </w:r>
      </w:hyperlink>
      <w:r>
        <w:rPr>
          <w:rFonts w:ascii="Times New Roman" w:hAnsi="Times New Roman"/>
          <w:b w:val="0"/>
          <w:i/>
          <w:color w:val="6B7280"/>
          <w:sz w:val="15"/>
        </w:rPr>
        <w:t xml:space="preserve">; </w:t>
      </w:r>
      <w:hyperlink r:id="rId24">
        <w:r>
          <w:rPr>
            <w:color w:val="1A6B8A"/>
            <w:u w:val="single"/>
          </w:rPr>
          <w:t>Codex analysis</w:t>
        </w:r>
      </w:hyperlink>
    </w:p>
    <w:p>
      <w:pPr>
        <w:spacing w:before="140" w:after="60" w:line="264" w:lineRule="auto"/>
        <w:jc w:val="left"/>
      </w:pPr>
      <w:r>
        <w:rPr>
          <w:rFonts w:ascii="Times New Roman" w:hAnsi="Times New Roman"/>
          <w:b/>
          <w:i w:val="0"/>
          <w:color w:val="111827"/>
          <w:sz w:val="22"/>
        </w:rPr>
        <w:t>Price target methodology</w:t>
      </w:r>
    </w:p>
    <w:p>
      <w:pPr>
        <w:spacing w:before="0" w:after="100" w:line="264" w:lineRule="auto"/>
        <w:jc w:val="left"/>
      </w:pPr>
      <w:r>
        <w:rPr>
          <w:rFonts w:ascii="Times New Roman" w:hAnsi="Times New Roman"/>
          <w:b w:val="0"/>
          <w:i w:val="0"/>
          <w:sz w:val="21"/>
        </w:rPr>
        <w:t>We raise the illustrative price target to $1,600 from $1,250. The target applies roughly 13.9x our FY2027E non-GAAP EPS estimate of $115, a premium to a normal commodity-memory multiple but justified by signed SCA visibility, a stronger net-cash balance, and structurally higher AI-memory content. The target implies approximately 39% upside from the June 30 close of $1,154.29.</w:t>
      </w:r>
    </w:p>
    <w:p>
      <w:pPr>
        <w:spacing w:before="0" w:after="100" w:line="264" w:lineRule="auto"/>
        <w:jc w:val="left"/>
      </w:pPr>
      <w:r>
        <w:rPr>
          <w:rFonts w:ascii="Times New Roman" w:hAnsi="Times New Roman"/>
          <w:b w:val="0"/>
          <w:i w:val="0"/>
          <w:sz w:val="21"/>
        </w:rPr>
        <w:t>We would revisit the rating if either: (1) SCA cash deposits and RPO conversion fail to appear on schedule, (2) Q4 gross margin falls meaningfully below the 86% guide, or (3) industry supply commentary changes from tight beyond 2027 to normalization inside 2027.</w:t>
      </w:r>
    </w:p>
    <w:p>
      <w:pPr>
        <w:keepNext/>
        <w:spacing w:before="80" w:after="40" w:line="264" w:lineRule="auto"/>
        <w:jc w:val="center"/>
      </w:pPr>
      <w:r>
        <w:rPr>
          <w:rFonts w:ascii="Times New Roman" w:hAnsi="Times New Roman"/>
          <w:b/>
          <w:i w:val="0"/>
          <w:color w:val="111827"/>
          <w:sz w:val="17"/>
        </w:rPr>
        <w:t>Figure 10 - Headline beat/miss summary</w:t>
      </w:r>
    </w:p>
    <w:p>
      <w:pPr>
        <w:keepNext/>
        <w:jc w:val="center"/>
      </w:pPr>
      <w:r>
        <w:drawing>
          <wp:inline xmlns:a="http://schemas.openxmlformats.org/drawingml/2006/main" xmlns:pic="http://schemas.openxmlformats.org/drawingml/2006/picture">
            <wp:extent cx="5349240" cy="3011424"/>
            <wp:docPr id="10" name="Picture 10"/>
            <wp:cNvGraphicFramePr>
              <a:graphicFrameLocks noChangeAspect="1"/>
            </wp:cNvGraphicFramePr>
            <a:graphic>
              <a:graphicData uri="http://schemas.openxmlformats.org/drawingml/2006/picture">
                <pic:pic>
                  <pic:nvPicPr>
                    <pic:cNvPr id="0" name="mu_chart6_beat_miss.png"/>
                    <pic:cNvPicPr/>
                  </pic:nvPicPr>
                  <pic:blipFill>
                    <a:blip r:embed="rId26"/>
                    <a:stretch>
                      <a:fillRect/>
                    </a:stretch>
                  </pic:blipFill>
                  <pic:spPr>
                    <a:xfrm>
                      <a:off x="0" y="0"/>
                      <a:ext cx="5349240" cy="3011424"/>
                    </a:xfrm>
                    <a:prstGeom prst="rect"/>
                  </pic:spPr>
                </pic:pic>
              </a:graphicData>
            </a:graphic>
          </wp:inline>
        </w:drawing>
      </w:r>
    </w:p>
    <w:p>
      <w:pPr>
        <w:spacing w:before="40" w:after="80" w:line="264" w:lineRule="auto"/>
        <w:jc w:val="left"/>
      </w:pPr>
      <w:r>
        <w:rPr>
          <w:rFonts w:ascii="Times New Roman" w:hAnsi="Times New Roman"/>
          <w:b w:val="0"/>
          <w:i/>
          <w:color w:val="6B7280"/>
          <w:sz w:val="15"/>
        </w:rPr>
        <w:t xml:space="preserve">Source: </w:t>
      </w:r>
      <w:hyperlink r:id="rId11">
        <w:r>
          <w:rPr>
            <w:color w:val="1A6B8A"/>
            <w:u w:val="single"/>
          </w:rPr>
          <w:t>Micron press release</w:t>
        </w:r>
      </w:hyperlink>
      <w:r>
        <w:rPr>
          <w:rFonts w:ascii="Times New Roman" w:hAnsi="Times New Roman"/>
          <w:b w:val="0"/>
          <w:i/>
          <w:color w:val="6B7280"/>
          <w:sz w:val="15"/>
        </w:rPr>
        <w:t xml:space="preserve">; </w:t>
      </w:r>
      <w:hyperlink r:id="rId12">
        <w:r>
          <w:rPr>
            <w:color w:val="1A6B8A"/>
            <w:u w:val="single"/>
          </w:rPr>
          <w:t>IBD / FactSet</w:t>
        </w:r>
      </w:hyperlink>
    </w:p>
    <w:p>
      <w:r>
        <w:br w:type="page"/>
      </w:r>
    </w:p>
    <w:p>
      <w:pPr>
        <w:spacing w:before="200" w:after="80" w:line="264" w:lineRule="auto"/>
        <w:jc w:val="left"/>
        <w:pBdr>
          <w:bottom w:val="single" w:sz="6" w:space="4" w:color="1A6B8A"/>
        </w:pBdr>
      </w:pPr>
      <w:r>
        <w:rPr>
          <w:rFonts w:ascii="Times New Roman" w:hAnsi="Times New Roman"/>
          <w:b/>
          <w:i w:val="0"/>
          <w:color w:val="1A6B8A"/>
          <w:sz w:val="26"/>
        </w:rPr>
        <w:t>SOURCES AND REFERENCES</w:t>
      </w:r>
    </w:p>
    <w:p>
      <w:pPr>
        <w:spacing w:before="0" w:after="100" w:line="264" w:lineRule="auto"/>
        <w:jc w:val="left"/>
      </w:pPr>
      <w:r>
        <w:rPr>
          <w:rFonts w:ascii="Times New Roman" w:hAnsi="Times New Roman"/>
          <w:b/>
          <w:i w:val="0"/>
          <w:color w:val="111827"/>
          <w:sz w:val="19"/>
        </w:rPr>
        <w:t>Latest-quarter verification: today is July 1, 2026; the latest earnings release was dated June 24, 2026; the 10-Q was filed June 25, 2026. The release is within the last three months and all materials refer to Q3 FY2026, quarter ended May 28, 2026.</w:t>
      </w:r>
    </w:p>
    <w:p>
      <w:pPr>
        <w:spacing w:before="0" w:after="60" w:line="264" w:lineRule="auto"/>
        <w:jc w:val="left"/>
      </w:pPr>
      <w:r>
        <w:rPr>
          <w:rFonts w:ascii="Times New Roman" w:hAnsi="Times New Roman"/>
          <w:b w:val="0"/>
          <w:i w:val="0"/>
          <w:sz w:val="18"/>
        </w:rPr>
        <w:t xml:space="preserve">- </w:t>
      </w:r>
      <w:hyperlink r:id="rId11">
        <w:r>
          <w:rPr>
            <w:color w:val="1A6B8A"/>
            <w:u w:val="single"/>
          </w:rPr>
          <w:t>Micron Q3 FY2026 earnings release</w:t>
        </w:r>
      </w:hyperlink>
    </w:p>
    <w:p>
      <w:pPr>
        <w:spacing w:before="0" w:after="60" w:line="264" w:lineRule="auto"/>
        <w:jc w:val="left"/>
      </w:pPr>
      <w:r>
        <w:rPr>
          <w:rFonts w:ascii="Times New Roman" w:hAnsi="Times New Roman"/>
          <w:b w:val="0"/>
          <w:i w:val="0"/>
          <w:sz w:val="18"/>
        </w:rPr>
        <w:t xml:space="preserve">- </w:t>
      </w:r>
      <w:hyperlink r:id="rId17">
        <w:r>
          <w:rPr>
            <w:color w:val="1A6B8A"/>
            <w:u w:val="single"/>
          </w:rPr>
          <w:t>Micron Q3 FY2026 investor presentation</w:t>
        </w:r>
      </w:hyperlink>
    </w:p>
    <w:p>
      <w:pPr>
        <w:spacing w:before="0" w:after="60" w:line="264" w:lineRule="auto"/>
        <w:jc w:val="left"/>
      </w:pPr>
      <w:r>
        <w:rPr>
          <w:rFonts w:ascii="Times New Roman" w:hAnsi="Times New Roman"/>
          <w:b w:val="0"/>
          <w:i w:val="0"/>
          <w:sz w:val="18"/>
        </w:rPr>
        <w:t xml:space="preserve">- </w:t>
      </w:r>
      <w:hyperlink r:id="rId16">
        <w:r>
          <w:rPr>
            <w:color w:val="1A6B8A"/>
            <w:u w:val="single"/>
          </w:rPr>
          <w:t>Micron Q3 FY2026 prepared remarks/webcast materials</w:t>
        </w:r>
      </w:hyperlink>
    </w:p>
    <w:p>
      <w:pPr>
        <w:spacing w:before="0" w:after="60" w:line="264" w:lineRule="auto"/>
        <w:jc w:val="left"/>
      </w:pPr>
      <w:r>
        <w:rPr>
          <w:rFonts w:ascii="Times New Roman" w:hAnsi="Times New Roman"/>
          <w:b w:val="0"/>
          <w:i w:val="0"/>
          <w:sz w:val="18"/>
        </w:rPr>
        <w:t xml:space="preserve">- </w:t>
      </w:r>
      <w:hyperlink r:id="rId14">
        <w:r>
          <w:rPr>
            <w:color w:val="1A6B8A"/>
            <w:u w:val="single"/>
          </w:rPr>
          <w:t>Micron Q3 FY2026 Form 10-Q</w:t>
        </w:r>
      </w:hyperlink>
    </w:p>
    <w:p>
      <w:pPr>
        <w:spacing w:before="0" w:after="60" w:line="264" w:lineRule="auto"/>
        <w:jc w:val="left"/>
      </w:pPr>
      <w:r>
        <w:rPr>
          <w:rFonts w:ascii="Times New Roman" w:hAnsi="Times New Roman"/>
          <w:b w:val="0"/>
          <w:i w:val="0"/>
          <w:sz w:val="18"/>
        </w:rPr>
        <w:t xml:space="preserve">- </w:t>
      </w:r>
      <w:hyperlink r:id="rId24">
        <w:r>
          <w:rPr>
            <w:color w:val="1A6B8A"/>
            <w:u w:val="single"/>
          </w:rPr>
          <w:t>Micron quarterly results page</w:t>
        </w:r>
      </w:hyperlink>
    </w:p>
    <w:p>
      <w:pPr>
        <w:spacing w:before="0" w:after="60" w:line="264" w:lineRule="auto"/>
        <w:jc w:val="left"/>
      </w:pPr>
      <w:r>
        <w:rPr>
          <w:rFonts w:ascii="Times New Roman" w:hAnsi="Times New Roman"/>
          <w:b w:val="0"/>
          <w:i w:val="0"/>
          <w:sz w:val="18"/>
        </w:rPr>
        <w:t xml:space="preserve">- </w:t>
      </w:r>
      <w:hyperlink r:id="rId12">
        <w:r>
          <w:rPr>
            <w:color w:val="1A6B8A"/>
            <w:u w:val="single"/>
          </w:rPr>
          <w:t>Investor's Business Daily / FactSet consensus</w:t>
        </w:r>
      </w:hyperlink>
    </w:p>
    <w:p>
      <w:pPr>
        <w:spacing w:before="0" w:after="60" w:line="264" w:lineRule="auto"/>
        <w:jc w:val="left"/>
      </w:pPr>
      <w:r>
        <w:rPr>
          <w:rFonts w:ascii="Times New Roman" w:hAnsi="Times New Roman"/>
          <w:b w:val="0"/>
          <w:i w:val="0"/>
          <w:sz w:val="18"/>
        </w:rPr>
        <w:t xml:space="preserve">- </w:t>
      </w:r>
      <w:hyperlink r:id="rId27">
        <w:r>
          <w:rPr>
            <w:color w:val="1A6B8A"/>
            <w:u w:val="single"/>
          </w:rPr>
          <w:t>Investopedia / Visible Alpha consensus</w:t>
        </w:r>
      </w:hyperlink>
    </w:p>
    <w:p>
      <w:pPr>
        <w:spacing w:before="0" w:after="100" w:line="264" w:lineRule="auto"/>
        <w:jc w:val="left"/>
      </w:pPr>
      <w:r>
        <w:rPr>
          <w:rFonts w:ascii="Times New Roman" w:hAnsi="Times New Roman"/>
          <w:b w:val="0"/>
          <w:i/>
          <w:color w:val="6B7280"/>
          <w:sz w:val="18"/>
        </w:rPr>
        <w:t>Consensus: FactSet consensus cited by Investor's Business Daily, June 24, 2026; additional consensus cross-check from Investopedia / Visible Alpha.</w:t>
      </w:r>
    </w:p>
    <w:p>
      <w:pPr>
        <w:spacing w:before="0" w:after="100" w:line="264" w:lineRule="auto"/>
        <w:jc w:val="left"/>
      </w:pPr>
      <w:r>
        <w:rPr>
          <w:rFonts w:ascii="Times New Roman" w:hAnsi="Times New Roman"/>
          <w:b w:val="0"/>
          <w:i/>
          <w:color w:val="6B7280"/>
          <w:sz w:val="18"/>
        </w:rPr>
        <w:t xml:space="preserve">Additional consensus cross-check: </w:t>
      </w:r>
      <w:hyperlink r:id="rId27">
        <w:r>
          <w:rPr>
            <w:color w:val="1A6B8A"/>
            <w:u w:val="single"/>
          </w:rPr>
          <w:t>Investopedia / Visible Alpha</w:t>
        </w:r>
      </w:hyperlink>
    </w:p>
    <w:p>
      <w:pPr>
        <w:spacing w:before="0" w:after="100" w:line="264" w:lineRule="auto"/>
        <w:jc w:val="left"/>
      </w:pPr>
      <w:r>
        <w:rPr>
          <w:rFonts w:ascii="Times New Roman" w:hAnsi="Times New Roman"/>
          <w:b w:val="0"/>
          <w:i/>
          <w:color w:val="6B7280"/>
          <w:sz w:val="17"/>
        </w:rPr>
        <w:t>Disclaimer: This report is for informational purposes only and does not constitute investment advice or a recommendation to buy or sell securities.</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B7280"/>
        <w:sz w:val="16"/>
      </w:rPr>
      <w:t>For informational purposes only. Not investment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val="0"/>
        <w:i w:val="0"/>
        <w:color w:val="6B7280"/>
        <w:sz w:val="16"/>
      </w:rPr>
      <w:t>Micron Technology (MU) | Q3 FY2026 Earnings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vestors.micron.com/news-releases/news-release-details/micron-technology-inc-reports-record-results-third-quarter" TargetMode="External"/><Relationship Id="rId12" Type="http://schemas.openxmlformats.org/officeDocument/2006/relationships/hyperlink" Target="https://www.investors.com/news/technology/micron-stock-mu-fiscal-q3-2026-earnings/" TargetMode="External"/><Relationship Id="rId13" Type="http://schemas.openxmlformats.org/officeDocument/2006/relationships/image" Target="media/image1.png"/><Relationship Id="rId14" Type="http://schemas.openxmlformats.org/officeDocument/2006/relationships/hyperlink" Target="https://investors.micron.com/sec-filings/sec-filing/10-q/0000723125-26-000015" TargetMode="External"/><Relationship Id="rId15" Type="http://schemas.openxmlformats.org/officeDocument/2006/relationships/image" Target="media/image2.png"/><Relationship Id="rId16" Type="http://schemas.openxmlformats.org/officeDocument/2006/relationships/hyperlink" Target="https://investors.micron.com/static-files/631b1a32-5537-46ae-8f40-82e42fc79dfe" TargetMode="External"/><Relationship Id="rId17" Type="http://schemas.openxmlformats.org/officeDocument/2006/relationships/hyperlink" Target="https://investors.micron.com/static-files/2354ecda-77a0-4ddd-8462-a631eb491356"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hyperlink" Target="https://investors.micron.com/quarterly-results" TargetMode="External"/><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hyperlink" Target="https://www.investopedia.com/micron-earnings-q3-fy2026-memory-stock-soars-ai-demand-12006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