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b/>
          <w:bCs/>
          <w:color w:val="5E5E5E"/>
          <w:sz w:val="20"/>
          <w:szCs w:val="20"/>
        </w:rPr>
        <w:t xml:space="preserve">COMPETITIVE POSITIONING REPORT</w:t>
      </w:r>
    </w:p>
    <w:p>
      <w:pPr>
        <w:spacing w:after="80"/>
      </w:pPr>
      <w:r>
        <w:rPr>
          <w:b/>
          <w:bCs/>
          <w:color w:val="333333"/>
          <w:sz w:val="44"/>
          <w:szCs w:val="44"/>
        </w:rPr>
        <w:t xml:space="preserve">Cloudflare, Inc. (NYSE: NET)</w:t>
      </w:r>
    </w:p>
    <w:p>
      <w:pPr>
        <w:spacing w:after="300"/>
      </w:pPr>
      <w:r>
        <w:rPr>
          <w:i/>
          <w:iCs/>
          <w:color w:val="5E5E5E"/>
          <w:sz w:val="24"/>
          <w:szCs w:val="24"/>
        </w:rPr>
        <w:t xml:space="preserve">vs. Akamai Technologies, Fastly, and Amazon CloudFront</w:t>
      </w:r>
    </w:p>
    <w:p>
      <w:pPr>
        <w:spacing w:after="160"/>
      </w:pPr>
      <w:r>
        <w:rPr>
          <w:i/>
          <w:iCs/>
          <w:color w:val="5E5E5E"/>
          <w:sz w:val="18"/>
          <w:szCs w:val="18"/>
        </w:rPr>
        <w:t xml:space="preserve">Prepared as a worked example for a case-study write-up of a competitive-analysis tool. General strategic understanding, not investment advice.</w:t>
      </w:r>
    </w:p>
    <w:p>
      <w:pPr>
        <w:pStyle w:val="Heading2"/>
        <w:spacing w:after="120" w:before="280"/>
      </w:pPr>
      <w:r>
        <w:t xml:space="preserve">Scope &amp; assumptions</w:t>
      </w:r>
    </w:p>
    <w:p>
      <w:pPr>
        <w:pStyle w:val="ListParagraph"/>
        <w:numPr>
          <w:ilvl w:val="0"/>
          <w:numId w:val="2"/>
        </w:numPr>
        <w:spacing w:after="80"/>
      </w:pPr>
      <w:r>
        <w:t xml:space="preserve">Company: Cloudflare, Inc. (NYSE: NET).</w:t>
      </w:r>
    </w:p>
    <w:p>
      <w:pPr>
        <w:pStyle w:val="ListParagraph"/>
        <w:numPr>
          <w:ilvl w:val="0"/>
          <w:numId w:val="2"/>
        </w:numPr>
        <w:spacing w:after="80"/>
      </w:pPr>
      <w:r>
        <w:t xml:space="preserve">Peer set (self-selected, not user-specified): Akamai Technologies, Fastly, and Amazon CloudFront — the four vendors most consistently named together in independent CDN/edge comparisons.</w:t>
      </w:r>
    </w:p>
    <w:p>
      <w:pPr>
        <w:pStyle w:val="ListParagraph"/>
        <w:numPr>
          <w:ilvl w:val="0"/>
          <w:numId w:val="2"/>
        </w:numPr>
        <w:spacing w:after="80"/>
      </w:pPr>
      <w:r>
        <w:t xml:space="preserve">Lens: general strategic understanding. All sections below are covered regardless of lens.</w:t>
      </w:r>
    </w:p>
    <w:p>
      <w:pPr>
        <w:pStyle w:val="ListParagraph"/>
        <w:numPr>
          <w:ilvl w:val="0"/>
          <w:numId w:val="2"/>
        </w:numPr>
        <w:spacing w:after="80"/>
      </w:pPr>
      <w:r>
        <w:t xml:space="preserve">AWS CloudFront is not a standalone reporting segment — AWS does not disclose CloudFront-specific revenue or margin, so it is assessed qualitatively throughout and left blank in the quantitative table below.</w:t>
      </w:r>
    </w:p>
    <w:p>
      <w:pPr>
        <w:pStyle w:val="Heading2"/>
        <w:spacing w:after="120" w:before="280"/>
      </w:pPr>
      <w:r>
        <w:t xml:space="preserve">Part 1 — Understanding the Industry</w:t>
      </w:r>
    </w:p>
    <w:p>
      <w:pPr>
        <w:pStyle w:val="Heading3"/>
        <w:spacing w:after="100" w:before="200"/>
      </w:pPr>
      <w:r>
        <w:t xml:space="preserve">Industry structure and value pools</w:t>
      </w:r>
    </w:p>
    <w:p>
      <w:pPr>
        <w:spacing w:after="160"/>
      </w:pPr>
      <w:r>
        <w:t xml:space="preserve">The content delivery / edge industry sits between the public internet backbone and the application layer: content, security, and increasingly compute are pushed from centralized origin servers to points of presence (PoPs) near end users. Historically the value pool sat in raw delivery (caching and bandwidth), but that layer has commoditized — specialist CDNs now price meaningfully below hyperscaler list rates for equivalent traffic, and in November 2025 AWS itself moved to $0/month flat-rate CloudFront bundles, an implicit admission that unbundled, metered pricing was losing share to simpler alternatives. The value pool has shifted toward two adjacent layers: security (WAF, DDoS, Zero Trust — where Akamai’s security segment has overtaken its legacy delivery business, and where Cloudflare’s pricing power is concentrated) and edge compute/data (Workers, Compute@Edge — where a vendor’s footprint becomes a platform for third-party code and, per multiple analysts, a proprietary data asset for AI/security model training).</w:t>
      </w:r>
    </w:p>
    <w:p>
      <w:pPr>
        <w:pStyle w:val="Heading3"/>
        <w:spacing w:after="100" w:before="200"/>
      </w:pPr>
      <w:r>
        <w:t xml:space="preserve">Profitability drivers</w:t>
      </w:r>
    </w:p>
    <w:p>
      <w:pPr>
        <w:spacing w:after="160"/>
      </w:pPr>
      <w:r>
        <w:t xml:space="preserve">Margins are driven by (1) the fixed cost of the owned network versus usage-based revenue — meaning scale and utilization matter more than headline pricing, (2) mix between low-margin legacy delivery and higher-margin security/compute services, and (3) exposure to hyperscaler price competition, which compresses list pricing for undifferentiated delivery. On disclosed figures, Cloudflare’s non-GAAP operating margin (14.0% FY2025) sits well above its GAAP margin (-9.6%), a gap explained largely by stock-based compensation and continued network investment rather than weak unit economics.</w:t>
      </w:r>
    </w:p>
    <w:p>
      <w:pPr>
        <w:pStyle w:val="Heading3"/>
        <w:spacing w:after="100" w:before="200"/>
      </w:pPr>
      <w:r>
        <w:t xml:space="preserve">Market size, growth, and maturity</w:t>
      </w:r>
    </w:p>
    <w:p>
      <w:pPr>
        <w:spacing w:after="160"/>
      </w:pPr>
      <w:r>
        <w:t xml:space="preserve">Estimates for the broader edge computing market vary widely by methodology (roughly $28B–$710B depending on scope and firm), but independent forecasts agree on sustained double-digit growth (20%+ CAGR in most estimates) through the early 2030s, driven by AI-workload demand, IoT, 5G, and data-sovereignty requirements pushing compute closer to users. The CDN-specific sub-segment is more mature and growing more slowly (mid-to-high single digits, per Akamai’s and Fastly’s core delivery growth rates), while the security and edge-compute adjacencies are growing much faster (Akamai security +10% YoY FY2025; Fastly security +47% YoY Q4 2025; Cloudflare’s Developer Platform flagged as its fastest-growing segment).</w:t>
      </w:r>
    </w:p>
    <w:p>
      <w:pPr>
        <w:pStyle w:val="Heading3"/>
        <w:spacing w:after="100" w:before="200"/>
      </w:pPr>
      <w:r>
        <w:t xml:space="preserve">Key trends and disruptive forces</w:t>
      </w:r>
    </w:p>
    <w:p>
      <w:pPr>
        <w:pStyle w:val="ListParagraph"/>
        <w:numPr>
          <w:ilvl w:val="0"/>
          <w:numId w:val="2"/>
        </w:numPr>
        <w:spacing w:after="80"/>
      </w:pPr>
      <w:r>
        <w:t xml:space="preserve">AI-workload demand is pulling infrastructure spend toward edge compute and inference-adjacent capacity — Cloudflare has explicitly framed itself as repositioning from a "cybersecurity" story to an "AI infrastructure" story.</w:t>
      </w:r>
    </w:p>
    <w:p>
      <w:pPr>
        <w:pStyle w:val="ListParagraph"/>
        <w:numPr>
          <w:ilvl w:val="0"/>
          <w:numId w:val="2"/>
        </w:numPr>
        <w:spacing w:after="80"/>
      </w:pPr>
      <w:r>
        <w:t xml:space="preserve">Agentic AI is starting to reshape vendor cost structures directly: Cloudflare’s own May 2026 restructuring (a ~20% workforce reduction, ~$140–150M in charges) was explicitly attributed to internal agentic-AI adoption, not weak demand — revenue that quarter was the highest in company history.</w:t>
      </w:r>
    </w:p>
    <w:p>
      <w:pPr>
        <w:pStyle w:val="ListParagraph"/>
        <w:numPr>
          <w:ilvl w:val="0"/>
          <w:numId w:val="2"/>
        </w:numPr>
        <w:spacing w:after="80"/>
      </w:pPr>
      <w:r>
        <w:t xml:space="preserve">Hyperscaler bundling (AWS’s flat-rate CloudFront tiers) is a direct competitive threat to specialist CDNs’ pricing power on undifferentiated delivery.</w:t>
      </w:r>
    </w:p>
    <w:p>
      <w:pPr>
        <w:pStyle w:val="ListParagraph"/>
        <w:numPr>
          <w:ilvl w:val="0"/>
          <w:numId w:val="2"/>
        </w:numPr>
        <w:spacing w:after="80"/>
      </w:pPr>
      <w:r>
        <w:t xml:space="preserve">Security and delivery are converging into single platforms ("connectivity cloud" / SASE-style positioning) rather than being sold as separate products.</w:t>
      </w:r>
    </w:p>
    <w:p>
      <w:pPr>
        <w:pStyle w:val="Heading3"/>
        <w:spacing w:after="100" w:before="200"/>
      </w:pPr>
      <w:r>
        <w:t xml:space="preserve">Regulatory / macro environment</w:t>
      </w:r>
    </w:p>
    <w:p>
      <w:pPr>
        <w:spacing w:after="160"/>
      </w:pPr>
      <w:r>
        <w:t xml:space="preserve">Data-sovereignty regulation is a structural tailwind for distributed edge networks (more local PoPs required to keep data in-region) and a genuine switching-cost driver once a customer’s compliance review is tied to a specific vendor’s regional footprint.</w:t>
      </w:r>
    </w:p>
    <w:p>
      <w:pPr>
        <w:pStyle w:val="Heading2"/>
        <w:spacing w:after="120" w:before="280"/>
      </w:pPr>
      <w:r>
        <w:t xml:space="preserve">Part 2 — Company Background</w:t>
      </w:r>
    </w:p>
    <w:p>
      <w:pPr>
        <w:pStyle w:val="Heading3"/>
        <w:spacing w:after="100" w:before="200"/>
      </w:pPr>
      <w:r>
        <w:t xml:space="preserve">Business model and revenue mix</w:t>
      </w:r>
    </w:p>
    <w:p>
      <w:pPr>
        <w:spacing w:after="160"/>
      </w:pPr>
      <w:r>
        <w:t xml:space="preserve">Cloudflare sells subscription access to a global network across four disclosed lines: Application Services (CDN, DDoS protection, WAF), Network Services (Magic Transit, WAN-as-a-Service), Zero Trust Services (Cloudflare One), and Developer Platform (Workers &amp; R2 — the fastest-growing line). Pricing spans a genuinely capable free tier through self-service Pro ($20/mo) and Business ($200/mo) plans to negotiated Enterprise contracts; this free-to-enterprise funnel is the core of its go-to-market model.</w:t>
      </w:r>
    </w:p>
    <w:p>
      <w:pPr>
        <w:pStyle w:val="Heading3"/>
        <w:spacing w:after="100" w:before="200"/>
      </w:pPr>
      <w:r>
        <w:t xml:space="preserve">History and strategic milestones</w:t>
      </w:r>
    </w:p>
    <w:p>
      <w:pPr>
        <w:spacing w:after="160"/>
      </w:pPr>
      <w:r>
        <w:t xml:space="preserve">Cloudflare has grown its network to 337 points of presence across roughly 300 cities in 90+ countries, reaching an estimated 95% of the internet-connected population within 50ms. The most consequential recent milestone is the May 2026 announcement of a ~20% workforce reduction alongside a shift to what the company calls an "agentic AI-first" operating model — internal AI agent usage reportedly up over 600% in three months — announced in the same quarter as record revenue, which the market read as an ambiguous signal (the stock fell 24% on the news).</w:t>
      </w:r>
    </w:p>
    <w:p>
      <w:pPr>
        <w:pStyle w:val="Heading3"/>
        <w:spacing w:after="100" w:before="200"/>
      </w:pPr>
      <w:r>
        <w:t xml:space="preserve">Ownership, leadership, and recent direction</w:t>
      </w:r>
    </w:p>
    <w:p>
      <w:pPr>
        <w:spacing w:after="160"/>
      </w:pPr>
      <w:r>
        <w:t xml:space="preserve">Publicly traded (NYSE: NET), co-founded and still led by Matthew Prince (CEO) and Michelle Zatlyn. Strategic direction over the past two years has consistently been toward platform breadth (adding Zero Trust, Workers, R2, D1, AI Gateway) rather than point-product competition, and — per the May 2026 announcement — toward restructuring the organisation itself around AI agents.</w:t>
      </w:r>
    </w:p>
    <w:p>
      <w:pPr>
        <w:pStyle w:val="Heading3"/>
        <w:spacing w:after="100" w:before="200"/>
      </w:pPr>
      <w:r>
        <w:t xml:space="preserve">Financial snapshot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700"/>
        <w:gridCol w:w="1700"/>
      </w:tblGrid>
      <w:tr>
        <w:trPr>
          <w:tblHeader/>
        </w:trPr>
        <w:tc>
          <w:tcPr>
            <w:tcW w:type="dxa" w:w="2400"/>
            <w:shd w:fill="333333" w:color="auto" w:val="clear"/>
            <w:tcMar>
              <w:top w:type="dxa" w:w="80"/>
              <w:left w:type="dxa" w:w="100"/>
              <w:bottom w:type="dxa" w:w="80"/>
              <w:right w:type="dxa" w:w="100"/>
            </w:tcMar>
          </w:tcPr>
          <w:p>
            <w:pPr>
              <w:jc w:val="left"/>
            </w:pPr>
            <w:r>
              <w:rPr>
                <w:b/>
                <w:bCs/>
                <w:sz w:val="19"/>
                <w:szCs w:val="19"/>
              </w:rPr>
              <w:t xml:space="preserve"/>
            </w:r>
          </w:p>
        </w:tc>
        <w:tc>
          <w:tcPr>
            <w:tcW w:type="dxa" w:w="1700"/>
            <w:shd w:fill="333333" w:color="auto" w:val="clear"/>
            <w:tcMar>
              <w:top w:type="dxa" w:w="80"/>
              <w:left w:type="dxa" w:w="100"/>
              <w:bottom w:type="dxa" w:w="80"/>
              <w:right w:type="dxa" w:w="100"/>
            </w:tcMar>
          </w:tcPr>
          <w:p>
            <w:pPr>
              <w:jc w:val="left"/>
            </w:pPr>
            <w:r>
              <w:rPr>
                <w:b/>
                <w:bCs/>
                <w:sz w:val="19"/>
                <w:szCs w:val="19"/>
              </w:rPr>
              <w:t xml:space="preserve">Cloudflare</w:t>
            </w:r>
          </w:p>
        </w:tc>
        <w:tc>
          <w:tcPr>
            <w:tcW w:type="dxa" w:w="1700"/>
            <w:shd w:fill="333333" w:color="auto" w:val="clear"/>
            <w:tcMar>
              <w:top w:type="dxa" w:w="80"/>
              <w:left w:type="dxa" w:w="100"/>
              <w:bottom w:type="dxa" w:w="80"/>
              <w:right w:type="dxa" w:w="100"/>
            </w:tcMar>
          </w:tcPr>
          <w:p>
            <w:pPr>
              <w:jc w:val="left"/>
            </w:pPr>
            <w:r>
              <w:rPr>
                <w:b/>
                <w:bCs/>
                <w:sz w:val="19"/>
                <w:szCs w:val="19"/>
              </w:rPr>
              <w:t xml:space="preserve">Akamai</w:t>
            </w:r>
          </w:p>
        </w:tc>
        <w:tc>
          <w:tcPr>
            <w:tcW w:type="dxa" w:w="1700"/>
            <w:shd w:fill="333333" w:color="auto" w:val="clear"/>
            <w:tcMar>
              <w:top w:type="dxa" w:w="80"/>
              <w:left w:type="dxa" w:w="100"/>
              <w:bottom w:type="dxa" w:w="80"/>
              <w:right w:type="dxa" w:w="100"/>
            </w:tcMar>
          </w:tcPr>
          <w:p>
            <w:pPr>
              <w:jc w:val="left"/>
            </w:pPr>
            <w:r>
              <w:rPr>
                <w:b/>
                <w:bCs/>
                <w:sz w:val="19"/>
                <w:szCs w:val="19"/>
              </w:rPr>
              <w:t xml:space="preserve">Fastly</w:t>
            </w:r>
          </w:p>
        </w:tc>
        <w:tc>
          <w:tcPr>
            <w:tcW w:type="dxa" w:w="1700"/>
            <w:shd w:fill="333333" w:color="auto" w:val="clear"/>
            <w:tcMar>
              <w:top w:type="dxa" w:w="80"/>
              <w:left w:type="dxa" w:w="100"/>
              <w:bottom w:type="dxa" w:w="80"/>
              <w:right w:type="dxa" w:w="100"/>
            </w:tcMar>
          </w:tcPr>
          <w:p>
            <w:pPr>
              <w:jc w:val="left"/>
            </w:pPr>
            <w:r>
              <w:rPr>
                <w:b/>
                <w:bCs/>
                <w:sz w:val="19"/>
                <w:szCs w:val="19"/>
              </w:rPr>
              <w:t xml:space="preserve">AWS CloudFront</w:t>
            </w:r>
          </w:p>
        </w:tc>
      </w:tr>
      <w:tr>
        <w:tc>
          <w:tcPr>
            <w:tcW w:type="dxa" w:w="2400"/>
            <w:shd w:fill="F3D3BD" w:color="auto" w:val="clear"/>
            <w:tcMar>
              <w:top w:type="dxa" w:w="80"/>
              <w:left w:type="dxa" w:w="100"/>
              <w:bottom w:type="dxa" w:w="80"/>
              <w:right w:type="dxa" w:w="100"/>
            </w:tcMar>
          </w:tcPr>
          <w:p>
            <w:pPr>
              <w:jc w:val="left"/>
            </w:pPr>
            <w:r>
              <w:rPr>
                <w:b/>
                <w:bCs/>
                <w:sz w:val="19"/>
                <w:szCs w:val="19"/>
              </w:rPr>
              <w:t xml:space="preserve">Latest quarter revenue</w:t>
            </w:r>
          </w:p>
        </w:tc>
        <w:tc>
          <w:tcPr>
            <w:tcW w:type="dxa" w:w="1700"/>
            <w:tcMar>
              <w:top w:type="dxa" w:w="80"/>
              <w:left w:type="dxa" w:w="100"/>
              <w:bottom w:type="dxa" w:w="80"/>
              <w:right w:type="dxa" w:w="100"/>
            </w:tcMar>
          </w:tcPr>
          <w:p>
            <w:pPr>
              <w:jc w:val="left"/>
            </w:pPr>
            <w:r>
              <w:rPr>
                <w:b w:val="false"/>
                <w:bCs w:val="false"/>
                <w:sz w:val="19"/>
                <w:szCs w:val="19"/>
              </w:rPr>
              <w:t xml:space="preserve">$639.8M (Q1 2026)</w:t>
            </w:r>
          </w:p>
        </w:tc>
        <w:tc>
          <w:tcPr>
            <w:tcW w:type="dxa" w:w="1700"/>
            <w:tcMar>
              <w:top w:type="dxa" w:w="80"/>
              <w:left w:type="dxa" w:w="100"/>
              <w:bottom w:type="dxa" w:w="80"/>
              <w:right w:type="dxa" w:w="100"/>
            </w:tcMar>
          </w:tcPr>
          <w:p>
            <w:pPr>
              <w:jc w:val="left"/>
            </w:pPr>
            <w:r>
              <w:rPr>
                <w:b w:val="false"/>
                <w:bCs w:val="false"/>
                <w:sz w:val="19"/>
                <w:szCs w:val="19"/>
              </w:rPr>
              <w:t xml:space="preserve">$1.074B (Q1 2026)</w:t>
            </w:r>
          </w:p>
        </w:tc>
        <w:tc>
          <w:tcPr>
            <w:tcW w:type="dxa" w:w="1700"/>
            <w:tcMar>
              <w:top w:type="dxa" w:w="80"/>
              <w:left w:type="dxa" w:w="100"/>
              <w:bottom w:type="dxa" w:w="80"/>
              <w:right w:type="dxa" w:w="100"/>
            </w:tcMar>
          </w:tcPr>
          <w:p>
            <w:pPr>
              <w:jc w:val="left"/>
            </w:pPr>
            <w:r>
              <w:rPr>
                <w:b w:val="false"/>
                <w:bCs w:val="false"/>
                <w:sz w:val="19"/>
                <w:szCs w:val="19"/>
              </w:rPr>
              <w:t xml:space="preserve">$173M (Q1 2026)</w:t>
            </w:r>
          </w:p>
        </w:tc>
        <w:tc>
          <w:tcPr>
            <w:tcW w:type="dxa" w:w="1700"/>
            <w:tcMar>
              <w:top w:type="dxa" w:w="80"/>
              <w:left w:type="dxa" w:w="100"/>
              <w:bottom w:type="dxa" w:w="80"/>
              <w:right w:type="dxa" w:w="100"/>
            </w:tcMar>
          </w:tcPr>
          <w:p>
            <w:pPr>
              <w:jc w:val="left"/>
            </w:pPr>
            <w:r>
              <w:rPr>
                <w:b w:val="false"/>
                <w:bCs w:val="false"/>
                <w:sz w:val="19"/>
                <w:szCs w:val="19"/>
              </w:rPr>
              <w:t xml:space="preserve">Not separately reported</w:t>
            </w:r>
          </w:p>
        </w:tc>
      </w:tr>
      <w:tr>
        <w:tc>
          <w:tcPr>
            <w:tcW w:type="dxa" w:w="2400"/>
            <w:shd w:fill="F3D3BD" w:color="auto" w:val="clear"/>
            <w:tcMar>
              <w:top w:type="dxa" w:w="80"/>
              <w:left w:type="dxa" w:w="100"/>
              <w:bottom w:type="dxa" w:w="80"/>
              <w:right w:type="dxa" w:w="100"/>
            </w:tcMar>
          </w:tcPr>
          <w:p>
            <w:pPr>
              <w:jc w:val="left"/>
            </w:pPr>
            <w:r>
              <w:rPr>
                <w:b/>
                <w:bCs/>
                <w:sz w:val="19"/>
                <w:szCs w:val="19"/>
              </w:rPr>
              <w:t xml:space="preserve">YoY revenue growth</w:t>
            </w:r>
          </w:p>
        </w:tc>
        <w:tc>
          <w:tcPr>
            <w:tcW w:type="dxa" w:w="1700"/>
            <w:tcMar>
              <w:top w:type="dxa" w:w="80"/>
              <w:left w:type="dxa" w:w="100"/>
              <w:bottom w:type="dxa" w:w="80"/>
              <w:right w:type="dxa" w:w="100"/>
            </w:tcMar>
          </w:tcPr>
          <w:p>
            <w:pPr>
              <w:jc w:val="left"/>
            </w:pPr>
            <w:r>
              <w:rPr>
                <w:b w:val="false"/>
                <w:bCs w:val="false"/>
                <w:sz w:val="19"/>
                <w:szCs w:val="19"/>
              </w:rPr>
              <w:t xml:space="preserve">+34%</w:t>
            </w:r>
          </w:p>
        </w:tc>
        <w:tc>
          <w:tcPr>
            <w:tcW w:type="dxa" w:w="1700"/>
            <w:tcMar>
              <w:top w:type="dxa" w:w="80"/>
              <w:left w:type="dxa" w:w="100"/>
              <w:bottom w:type="dxa" w:w="80"/>
              <w:right w:type="dxa" w:w="100"/>
            </w:tcMar>
          </w:tcPr>
          <w:p>
            <w:pPr>
              <w:jc w:val="left"/>
            </w:pPr>
            <w:r>
              <w:rPr>
                <w:b w:val="false"/>
                <w:bCs w:val="false"/>
                <w:sz w:val="19"/>
                <w:szCs w:val="19"/>
              </w:rPr>
              <w:t xml:space="preserve">+6%</w:t>
            </w:r>
          </w:p>
        </w:tc>
        <w:tc>
          <w:tcPr>
            <w:tcW w:type="dxa" w:w="1700"/>
            <w:tcMar>
              <w:top w:type="dxa" w:w="80"/>
              <w:left w:type="dxa" w:w="100"/>
              <w:bottom w:type="dxa" w:w="80"/>
              <w:right w:type="dxa" w:w="100"/>
            </w:tcMar>
          </w:tcPr>
          <w:p>
            <w:pPr>
              <w:jc w:val="left"/>
            </w:pPr>
            <w:r>
              <w:rPr>
                <w:b w:val="false"/>
                <w:bCs w:val="false"/>
                <w:sz w:val="19"/>
                <w:szCs w:val="19"/>
              </w:rPr>
              <w:t xml:space="preserve">+20%</w:t>
            </w:r>
          </w:p>
        </w:tc>
        <w:tc>
          <w:tcPr>
            <w:tcW w:type="dxa" w:w="1700"/>
            <w:tcMar>
              <w:top w:type="dxa" w:w="80"/>
              <w:left w:type="dxa" w:w="100"/>
              <w:bottom w:type="dxa" w:w="80"/>
              <w:right w:type="dxa" w:w="100"/>
            </w:tcMar>
          </w:tcPr>
          <w:p>
            <w:pPr>
              <w:jc w:val="left"/>
            </w:pPr>
            <w:r>
              <w:rPr>
                <w:b w:val="false"/>
                <w:bCs w:val="false"/>
                <w:sz w:val="19"/>
                <w:szCs w:val="19"/>
              </w:rPr>
              <w:t xml:space="preserve">n/a</w:t>
            </w:r>
          </w:p>
        </w:tc>
      </w:tr>
      <w:tr>
        <w:tc>
          <w:tcPr>
            <w:tcW w:type="dxa" w:w="2400"/>
            <w:shd w:fill="F3D3BD" w:color="auto" w:val="clear"/>
            <w:tcMar>
              <w:top w:type="dxa" w:w="80"/>
              <w:left w:type="dxa" w:w="100"/>
              <w:bottom w:type="dxa" w:w="80"/>
              <w:right w:type="dxa" w:w="100"/>
            </w:tcMar>
          </w:tcPr>
          <w:p>
            <w:pPr>
              <w:jc w:val="left"/>
            </w:pPr>
            <w:r>
              <w:rPr>
                <w:b/>
                <w:bCs/>
                <w:sz w:val="19"/>
                <w:szCs w:val="19"/>
              </w:rPr>
              <w:t xml:space="preserve">FY2026 guidance</w:t>
            </w:r>
          </w:p>
        </w:tc>
        <w:tc>
          <w:tcPr>
            <w:tcW w:type="dxa" w:w="1700"/>
            <w:tcMar>
              <w:top w:type="dxa" w:w="80"/>
              <w:left w:type="dxa" w:w="100"/>
              <w:bottom w:type="dxa" w:w="80"/>
              <w:right w:type="dxa" w:w="100"/>
            </w:tcMar>
          </w:tcPr>
          <w:p>
            <w:pPr>
              <w:jc w:val="left"/>
            </w:pPr>
            <w:r>
              <w:rPr>
                <w:b w:val="false"/>
                <w:bCs w:val="false"/>
                <w:sz w:val="19"/>
                <w:szCs w:val="19"/>
              </w:rPr>
              <w:t xml:space="preserve">$2.805–2.813B (+30%)</w:t>
            </w:r>
          </w:p>
        </w:tc>
        <w:tc>
          <w:tcPr>
            <w:tcW w:type="dxa" w:w="1700"/>
            <w:tcMar>
              <w:top w:type="dxa" w:w="80"/>
              <w:left w:type="dxa" w:w="100"/>
              <w:bottom w:type="dxa" w:w="80"/>
              <w:right w:type="dxa" w:w="100"/>
            </w:tcMar>
          </w:tcPr>
          <w:p>
            <w:pPr>
              <w:jc w:val="left"/>
            </w:pPr>
            <w:r>
              <w:rPr>
                <w:b w:val="false"/>
                <w:bCs w:val="false"/>
                <w:sz w:val="19"/>
                <w:szCs w:val="19"/>
              </w:rPr>
              <w:t xml:space="preserve">$4.445–4.55B (+6–8%)</w:t>
            </w:r>
          </w:p>
        </w:tc>
        <w:tc>
          <w:tcPr>
            <w:tcW w:type="dxa" w:w="1700"/>
            <w:tcMar>
              <w:top w:type="dxa" w:w="80"/>
              <w:left w:type="dxa" w:w="100"/>
              <w:bottom w:type="dxa" w:w="80"/>
              <w:right w:type="dxa" w:w="100"/>
            </w:tcMar>
          </w:tcPr>
          <w:p>
            <w:pPr>
              <w:jc w:val="left"/>
            </w:pPr>
            <w:r>
              <w:rPr>
                <w:b w:val="false"/>
                <w:bCs w:val="false"/>
                <w:sz w:val="19"/>
                <w:szCs w:val="19"/>
              </w:rPr>
              <w:t xml:space="preserve">$710–725M (+15%)</w:t>
            </w:r>
          </w:p>
        </w:tc>
        <w:tc>
          <w:tcPr>
            <w:tcW w:type="dxa" w:w="1700"/>
            <w:tcMar>
              <w:top w:type="dxa" w:w="80"/>
              <w:left w:type="dxa" w:w="100"/>
              <w:bottom w:type="dxa" w:w="80"/>
              <w:right w:type="dxa" w:w="100"/>
            </w:tcMar>
          </w:tcPr>
          <w:p>
            <w:pPr>
              <w:jc w:val="left"/>
            </w:pPr>
            <w:r>
              <w:rPr>
                <w:b w:val="false"/>
                <w:bCs w:val="false"/>
                <w:sz w:val="19"/>
                <w:szCs w:val="19"/>
              </w:rPr>
              <w:t xml:space="preserve">n/a</w:t>
            </w:r>
          </w:p>
        </w:tc>
      </w:tr>
      <w:tr>
        <w:tc>
          <w:tcPr>
            <w:tcW w:type="dxa" w:w="2400"/>
            <w:shd w:fill="F3D3BD" w:color="auto" w:val="clear"/>
            <w:tcMar>
              <w:top w:type="dxa" w:w="80"/>
              <w:left w:type="dxa" w:w="100"/>
              <w:bottom w:type="dxa" w:w="80"/>
              <w:right w:type="dxa" w:w="100"/>
            </w:tcMar>
          </w:tcPr>
          <w:p>
            <w:pPr>
              <w:jc w:val="left"/>
            </w:pPr>
            <w:r>
              <w:rPr>
                <w:b/>
                <w:bCs/>
                <w:sz w:val="19"/>
                <w:szCs w:val="19"/>
              </w:rPr>
              <w:t xml:space="preserve">Gross margin</w:t>
            </w:r>
          </w:p>
        </w:tc>
        <w:tc>
          <w:tcPr>
            <w:tcW w:type="dxa" w:w="1700"/>
            <w:tcMar>
              <w:top w:type="dxa" w:w="80"/>
              <w:left w:type="dxa" w:w="100"/>
              <w:bottom w:type="dxa" w:w="80"/>
              <w:right w:type="dxa" w:w="100"/>
            </w:tcMar>
          </w:tcPr>
          <w:p>
            <w:pPr>
              <w:jc w:val="left"/>
            </w:pPr>
            <w:r>
              <w:rPr>
                <w:b w:val="false"/>
                <w:bCs w:val="false"/>
                <w:sz w:val="19"/>
                <w:szCs w:val="19"/>
              </w:rPr>
              <w:t xml:space="preserve">~73% non-GAAP (Q1 2026)</w:t>
            </w:r>
          </w:p>
        </w:tc>
        <w:tc>
          <w:tcPr>
            <w:tcW w:type="dxa" w:w="1700"/>
            <w:tcMar>
              <w:top w:type="dxa" w:w="80"/>
              <w:left w:type="dxa" w:w="100"/>
              <w:bottom w:type="dxa" w:w="80"/>
              <w:right w:type="dxa" w:w="100"/>
            </w:tcMar>
          </w:tcPr>
          <w:p>
            <w:pPr>
              <w:jc w:val="left"/>
            </w:pPr>
            <w:r>
              <w:rPr>
                <w:b w:val="false"/>
                <w:bCs w:val="false"/>
                <w:sz w:val="19"/>
                <w:szCs w:val="19"/>
              </w:rPr>
              <w:t xml:space="preserve">Not disclosed comparably</w:t>
            </w:r>
          </w:p>
        </w:tc>
        <w:tc>
          <w:tcPr>
            <w:tcW w:type="dxa" w:w="1700"/>
            <w:tcMar>
              <w:top w:type="dxa" w:w="80"/>
              <w:left w:type="dxa" w:w="100"/>
              <w:bottom w:type="dxa" w:w="80"/>
              <w:right w:type="dxa" w:w="100"/>
            </w:tcMar>
          </w:tcPr>
          <w:p>
            <w:pPr>
              <w:jc w:val="left"/>
            </w:pPr>
            <w:r>
              <w:rPr>
                <w:b w:val="false"/>
                <w:bCs w:val="false"/>
                <w:sz w:val="19"/>
                <w:szCs w:val="19"/>
              </w:rPr>
              <w:t xml:space="preserve">Not disclosed comparably</w:t>
            </w:r>
          </w:p>
        </w:tc>
        <w:tc>
          <w:tcPr>
            <w:tcW w:type="dxa" w:w="1700"/>
            <w:tcMar>
              <w:top w:type="dxa" w:w="80"/>
              <w:left w:type="dxa" w:w="100"/>
              <w:bottom w:type="dxa" w:w="80"/>
              <w:right w:type="dxa" w:w="100"/>
            </w:tcMar>
          </w:tcPr>
          <w:p>
            <w:pPr>
              <w:jc w:val="left"/>
            </w:pPr>
            <w:r>
              <w:rPr>
                <w:b w:val="false"/>
                <w:bCs w:val="false"/>
                <w:sz w:val="19"/>
                <w:szCs w:val="19"/>
              </w:rPr>
              <w:t xml:space="preserve">n/a</w:t>
            </w:r>
          </w:p>
        </w:tc>
      </w:tr>
      <w:tr>
        <w:tc>
          <w:tcPr>
            <w:tcW w:type="dxa" w:w="2400"/>
            <w:shd w:fill="F3D3BD" w:color="auto" w:val="clear"/>
            <w:tcMar>
              <w:top w:type="dxa" w:w="80"/>
              <w:left w:type="dxa" w:w="100"/>
              <w:bottom w:type="dxa" w:w="80"/>
              <w:right w:type="dxa" w:w="100"/>
            </w:tcMar>
          </w:tcPr>
          <w:p>
            <w:pPr>
              <w:jc w:val="left"/>
            </w:pPr>
            <w:r>
              <w:rPr>
                <w:b/>
                <w:bCs/>
                <w:sz w:val="19"/>
                <w:szCs w:val="19"/>
              </w:rPr>
              <w:t xml:space="preserve">GAAP profitability</w:t>
            </w:r>
          </w:p>
        </w:tc>
        <w:tc>
          <w:tcPr>
            <w:tcW w:type="dxa" w:w="1700"/>
            <w:tcMar>
              <w:top w:type="dxa" w:w="80"/>
              <w:left w:type="dxa" w:w="100"/>
              <w:bottom w:type="dxa" w:w="80"/>
              <w:right w:type="dxa" w:w="100"/>
            </w:tcMar>
          </w:tcPr>
          <w:p>
            <w:pPr>
              <w:jc w:val="left"/>
            </w:pPr>
            <w:r>
              <w:rPr>
                <w:b w:val="false"/>
                <w:bCs w:val="false"/>
                <w:sz w:val="19"/>
                <w:szCs w:val="19"/>
              </w:rPr>
              <w:t xml:space="preserve">Loss (-9.6% margin, FY25)</w:t>
            </w:r>
          </w:p>
        </w:tc>
        <w:tc>
          <w:tcPr>
            <w:tcW w:type="dxa" w:w="1700"/>
            <w:tcMar>
              <w:top w:type="dxa" w:w="80"/>
              <w:left w:type="dxa" w:w="100"/>
              <w:bottom w:type="dxa" w:w="80"/>
              <w:right w:type="dxa" w:w="100"/>
            </w:tcMar>
          </w:tcPr>
          <w:p>
            <w:pPr>
              <w:jc w:val="left"/>
            </w:pPr>
            <w:r>
              <w:rPr>
                <w:b w:val="false"/>
                <w:bCs w:val="false"/>
                <w:sz w:val="19"/>
                <w:szCs w:val="19"/>
              </w:rPr>
              <w:t xml:space="preserve">Profitable</w:t>
            </w:r>
          </w:p>
        </w:tc>
        <w:tc>
          <w:tcPr>
            <w:tcW w:type="dxa" w:w="1700"/>
            <w:tcMar>
              <w:top w:type="dxa" w:w="80"/>
              <w:left w:type="dxa" w:w="100"/>
              <w:bottom w:type="dxa" w:w="80"/>
              <w:right w:type="dxa" w:w="100"/>
            </w:tcMar>
          </w:tcPr>
          <w:p>
            <w:pPr>
              <w:jc w:val="left"/>
            </w:pPr>
            <w:r>
              <w:rPr>
                <w:b w:val="false"/>
                <w:bCs w:val="false"/>
                <w:sz w:val="19"/>
                <w:szCs w:val="19"/>
              </w:rPr>
              <w:t xml:space="preserve">Profitable (first full year, FY25)</w:t>
            </w:r>
          </w:p>
        </w:tc>
        <w:tc>
          <w:tcPr>
            <w:tcW w:type="dxa" w:w="1700"/>
            <w:tcMar>
              <w:top w:type="dxa" w:w="80"/>
              <w:left w:type="dxa" w:w="100"/>
              <w:bottom w:type="dxa" w:w="80"/>
              <w:right w:type="dxa" w:w="100"/>
            </w:tcMar>
          </w:tcPr>
          <w:p>
            <w:pPr>
              <w:jc w:val="left"/>
            </w:pPr>
            <w:r>
              <w:rPr>
                <w:b w:val="false"/>
                <w:bCs w:val="false"/>
                <w:sz w:val="19"/>
                <w:szCs w:val="19"/>
              </w:rPr>
              <w:t xml:space="preserve">n/a</w:t>
            </w:r>
          </w:p>
        </w:tc>
      </w:tr>
      <w:tr>
        <w:tc>
          <w:tcPr>
            <w:tcW w:type="dxa" w:w="2400"/>
            <w:shd w:fill="F3D3BD" w:color="auto" w:val="clear"/>
            <w:tcMar>
              <w:top w:type="dxa" w:w="80"/>
              <w:left w:type="dxa" w:w="100"/>
              <w:bottom w:type="dxa" w:w="80"/>
              <w:right w:type="dxa" w:w="100"/>
            </w:tcMar>
          </w:tcPr>
          <w:p>
            <w:pPr>
              <w:jc w:val="left"/>
            </w:pPr>
            <w:r>
              <w:rPr>
                <w:b/>
                <w:bCs/>
                <w:sz w:val="19"/>
                <w:szCs w:val="19"/>
              </w:rPr>
              <w:t xml:space="preserve">Net retention (NRR)</w:t>
            </w:r>
          </w:p>
        </w:tc>
        <w:tc>
          <w:tcPr>
            <w:tcW w:type="dxa" w:w="1700"/>
            <w:tcMar>
              <w:top w:type="dxa" w:w="80"/>
              <w:left w:type="dxa" w:w="100"/>
              <w:bottom w:type="dxa" w:w="80"/>
              <w:right w:type="dxa" w:w="100"/>
            </w:tcMar>
          </w:tcPr>
          <w:p>
            <w:pPr>
              <w:jc w:val="left"/>
            </w:pPr>
            <w:r>
              <w:rPr>
                <w:b w:val="false"/>
                <w:bCs w:val="false"/>
                <w:sz w:val="19"/>
                <w:szCs w:val="19"/>
              </w:rPr>
              <w:t xml:space="preserve">118%</w:t>
            </w:r>
          </w:p>
        </w:tc>
        <w:tc>
          <w:tcPr>
            <w:tcW w:type="dxa" w:w="1700"/>
            <w:tcMar>
              <w:top w:type="dxa" w:w="80"/>
              <w:left w:type="dxa" w:w="100"/>
              <w:bottom w:type="dxa" w:w="80"/>
              <w:right w:type="dxa" w:w="100"/>
            </w:tcMar>
          </w:tcPr>
          <w:p>
            <w:pPr>
              <w:jc w:val="left"/>
            </w:pPr>
            <w:r>
              <w:rPr>
                <w:b w:val="false"/>
                <w:bCs w:val="false"/>
                <w:sz w:val="19"/>
                <w:szCs w:val="19"/>
              </w:rPr>
              <w:t xml:space="preserve">Not disclosed comparably</w:t>
            </w:r>
          </w:p>
        </w:tc>
        <w:tc>
          <w:tcPr>
            <w:tcW w:type="dxa" w:w="1700"/>
            <w:tcMar>
              <w:top w:type="dxa" w:w="80"/>
              <w:left w:type="dxa" w:w="100"/>
              <w:bottom w:type="dxa" w:w="80"/>
              <w:right w:type="dxa" w:w="100"/>
            </w:tcMar>
          </w:tcPr>
          <w:p>
            <w:pPr>
              <w:jc w:val="left"/>
            </w:pPr>
            <w:r>
              <w:rPr>
                <w:b w:val="false"/>
                <w:bCs w:val="false"/>
                <w:sz w:val="19"/>
                <w:szCs w:val="19"/>
              </w:rPr>
              <w:t xml:space="preserve">110% (LTM, Q4 25)</w:t>
            </w:r>
          </w:p>
        </w:tc>
        <w:tc>
          <w:tcPr>
            <w:tcW w:type="dxa" w:w="1700"/>
            <w:tcMar>
              <w:top w:type="dxa" w:w="80"/>
              <w:left w:type="dxa" w:w="100"/>
              <w:bottom w:type="dxa" w:w="80"/>
              <w:right w:type="dxa" w:w="100"/>
            </w:tcMar>
          </w:tcPr>
          <w:p>
            <w:pPr>
              <w:jc w:val="left"/>
            </w:pPr>
            <w:r>
              <w:rPr>
                <w:b w:val="false"/>
                <w:bCs w:val="false"/>
                <w:sz w:val="19"/>
                <w:szCs w:val="19"/>
              </w:rPr>
              <w:t xml:space="preserve">n/a</w:t>
            </w:r>
          </w:p>
        </w:tc>
      </w:tr>
      <w:tr>
        <w:tc>
          <w:tcPr>
            <w:tcW w:type="dxa" w:w="2400"/>
            <w:shd w:fill="F3D3BD" w:color="auto" w:val="clear"/>
            <w:tcMar>
              <w:top w:type="dxa" w:w="80"/>
              <w:left w:type="dxa" w:w="100"/>
              <w:bottom w:type="dxa" w:w="80"/>
              <w:right w:type="dxa" w:w="100"/>
            </w:tcMar>
          </w:tcPr>
          <w:p>
            <w:pPr>
              <w:jc w:val="left"/>
            </w:pPr>
            <w:r>
              <w:rPr>
                <w:b/>
                <w:bCs/>
                <w:sz w:val="19"/>
                <w:szCs w:val="19"/>
              </w:rPr>
              <w:t xml:space="preserve">Market cap (2026)</w:t>
            </w:r>
          </w:p>
        </w:tc>
        <w:tc>
          <w:tcPr>
            <w:tcW w:type="dxa" w:w="1700"/>
            <w:tcMar>
              <w:top w:type="dxa" w:w="80"/>
              <w:left w:type="dxa" w:w="100"/>
              <w:bottom w:type="dxa" w:w="80"/>
              <w:right w:type="dxa" w:w="100"/>
            </w:tcMar>
          </w:tcPr>
          <w:p>
            <w:pPr>
              <w:jc w:val="left"/>
            </w:pPr>
            <w:r>
              <w:rPr>
                <w:b w:val="false"/>
                <w:bCs w:val="false"/>
                <w:sz w:val="19"/>
                <w:szCs w:val="19"/>
              </w:rPr>
              <w:t xml:space="preserve">~$74.5B</w:t>
            </w:r>
          </w:p>
        </w:tc>
        <w:tc>
          <w:tcPr>
            <w:tcW w:type="dxa" w:w="1700"/>
            <w:tcMar>
              <w:top w:type="dxa" w:w="80"/>
              <w:left w:type="dxa" w:w="100"/>
              <w:bottom w:type="dxa" w:w="80"/>
              <w:right w:type="dxa" w:w="100"/>
            </w:tcMar>
          </w:tcPr>
          <w:p>
            <w:pPr>
              <w:jc w:val="left"/>
            </w:pPr>
            <w:r>
              <w:rPr>
                <w:b w:val="false"/>
                <w:bCs w:val="false"/>
                <w:sz w:val="19"/>
                <w:szCs w:val="19"/>
              </w:rPr>
              <w:t xml:space="preserve">~$13B (order of magnitude)</w:t>
            </w:r>
          </w:p>
        </w:tc>
        <w:tc>
          <w:tcPr>
            <w:tcW w:type="dxa" w:w="1700"/>
            <w:tcMar>
              <w:top w:type="dxa" w:w="80"/>
              <w:left w:type="dxa" w:w="100"/>
              <w:bottom w:type="dxa" w:w="80"/>
              <w:right w:type="dxa" w:w="100"/>
            </w:tcMar>
          </w:tcPr>
          <w:p>
            <w:pPr>
              <w:jc w:val="left"/>
            </w:pPr>
            <w:r>
              <w:rPr>
                <w:b w:val="false"/>
                <w:bCs w:val="false"/>
                <w:sz w:val="19"/>
                <w:szCs w:val="19"/>
              </w:rPr>
              <w:t xml:space="preserve">Small-cap; not confirmed</w:t>
            </w:r>
          </w:p>
        </w:tc>
        <w:tc>
          <w:tcPr>
            <w:tcW w:type="dxa" w:w="1700"/>
            <w:tcMar>
              <w:top w:type="dxa" w:w="80"/>
              <w:left w:type="dxa" w:w="100"/>
              <w:bottom w:type="dxa" w:w="80"/>
              <w:right w:type="dxa" w:w="100"/>
            </w:tcMar>
          </w:tcPr>
          <w:p>
            <w:pPr>
              <w:jc w:val="left"/>
            </w:pPr>
            <w:r>
              <w:rPr>
                <w:b w:val="false"/>
                <w:bCs w:val="false"/>
                <w:sz w:val="19"/>
                <w:szCs w:val="19"/>
              </w:rPr>
              <w:t xml:space="preserve">n/a (AWS segment)</w:t>
            </w:r>
          </w:p>
        </w:tc>
      </w:tr>
    </w:tbl>
    <w:p>
      <w:pPr>
        <w:spacing w:after="160"/>
      </w:pPr>
      <w:r>
        <w:t xml:space="preserve"/>
      </w:r>
    </w:p>
    <w:p>
      <w:pPr>
        <w:spacing w:after="160"/>
      </w:pPr>
      <w:r>
        <w:rPr>
          <w:i/>
          <w:iCs/>
          <w:color w:val="5E5E5E"/>
          <w:sz w:val="17"/>
          <w:szCs w:val="17"/>
        </w:rPr>
        <w:t xml:space="preserve">Figures are the most recently disclosed quarterly and full-year guidance figures as of this report; "not disclosed comparably" indicates the peer does not publish a directly equivalent metric. See Sources for individual figures.</w:t>
      </w:r>
    </w:p>
    <w:p>
      <w:pPr>
        <w:pStyle w:val="Heading2"/>
        <w:spacing w:after="120" w:before="280"/>
      </w:pPr>
      <w:r>
        <w:t xml:space="preserve">Part 3 — Competitive Positioning vs Peers</w:t>
      </w:r>
    </w:p>
    <w:p>
      <w:pPr>
        <w:spacing w:after="160"/>
      </w:pPr>
      <w:r>
        <w:t xml:space="preserve">Each dimension below gives Cloudflare’s position against Akamai, Fastly, and (where the comparison is meaningful) Amazon CloudFront, with a clear verdict and the evidence behind it. A summary table follows the detailed write-up.</w:t>
      </w:r>
    </w:p>
    <w:p>
      <w:pPr>
        <w:spacing w:after="160"/>
      </w:pPr>
      <w:r>
        <w:rPr>
          <w:b/>
          <w:bCs/>
        </w:rPr>
        <w:t xml:space="preserve">a. Value chain mapping — </w:t>
      </w:r>
      <w:r>
        <w:rPr>
          <w:b/>
          <w:bCs/>
          <w:color w:val="333333"/>
        </w:rPr>
        <w:t xml:space="preserve">Cloudflare ahead. </w:t>
      </w:r>
      <w:r>
        <w:t xml:space="preserve">The industry runs from network/transit through CDN delivery, security, and edge compute/data. Cloudflare is the only vendor operating meaningfully across all four layers under one control plane, and — per multiple analysts — is using its position proxying an estimated ~20% of global internet traffic as a proprietary data asset for AI/security model training, a value-capture angle beyond delivery itself. Akamai has followed a similar breadth strategy (security now its largest segment; Linode acquisition adds a compute layer) but from a slower-growing legacy delivery base. Fastly remains a narrower, specialist point in the chain. AWS CloudFront’s position is set by parent-company strategy, not standalone CDN economics — its November 2025 move to $0/month bundles reads as a loss-leader tactic to protect AWS’s broader compute/storage value capture.</w:t>
      </w:r>
    </w:p>
    <w:p>
      <w:pPr>
        <w:spacing w:after="160"/>
      </w:pPr>
      <w:r>
        <w:rPr>
          <w:b/>
          <w:bCs/>
        </w:rPr>
        <w:t xml:space="preserve">b. Product quality — </w:t>
      </w:r>
      <w:r>
        <w:rPr>
          <w:b/>
          <w:bCs/>
          <w:color w:val="333333"/>
        </w:rPr>
        <w:t xml:space="preserve">At parity. </w:t>
      </w:r>
      <w:r>
        <w:t xml:space="preserve">G2 ratings cluster tightly: Cloudflare 4.5/5 (595 reviews), Akamai 4.5/5 (679 reviews), Fastly ~4.6/5 (116 reviews, smaller sample). No vendor has an evidenced overall quality lead; each wins on a different axis — Fastly on purge speed (150ms global, the fastest independently cited), Akamai on broadcast-grade monitoring depth for media/streaming customers, Cloudflare on ease of use and dashboard clarity. "Steep learning curve for advanced configuration" and pricing confusion recur as complaints across all three, not specific to one vendor.</w:t>
      </w:r>
    </w:p>
    <w:p>
      <w:pPr>
        <w:spacing w:after="160"/>
      </w:pPr>
      <w:r>
        <w:rPr>
          <w:b/>
          <w:bCs/>
        </w:rPr>
        <w:t xml:space="preserve">c. Technology — </w:t>
      </w:r>
      <w:r>
        <w:rPr>
          <w:b/>
          <w:bCs/>
          <w:color w:val="333333"/>
        </w:rPr>
        <w:t xml:space="preserve">Cloudflare ahead on breadth; Fastly ahead on flexibility. </w:t>
      </w:r>
      <w:r>
        <w:t xml:space="preserve">Cloudflare’s R&amp;D spend was 14.7% of revenue (Q3 2025 non-GAAP), trending down as revenue outgrows R&amp;D spend — comparable clean figures were not found for Akamai or Fastly in this research pass (data gap). Workers (V8 isolates, sub-5ms cold start, runs at all 337 edge locations simultaneously) has the widest independent-comparison mindshare of the three edge-compute runtimes. Fastly’s Compute (WebAssembly-based, supports Rust/Go/JS rather than JS/WASM only) is a genuine technical edge for sophisticated engineering teams who want more language and control flexibility. Akamai’s EdgeWorkers surfaced least in independent comparisons, suggesting weaker developer mindshare specifically in edge compute even though its security technology is strong.</w:t>
      </w:r>
    </w:p>
    <w:p>
      <w:pPr>
        <w:spacing w:after="160"/>
      </w:pPr>
      <w:r>
        <w:rPr>
          <w:b/>
          <w:bCs/>
        </w:rPr>
        <w:t xml:space="preserve">d. Vertical integration — </w:t>
      </w:r>
      <w:r>
        <w:rPr>
          <w:b/>
          <w:bCs/>
          <w:color w:val="333333"/>
        </w:rPr>
        <w:t xml:space="preserve">Cloudflare and CloudFront ahead; Akamai at parity; Fastly behind. </w:t>
      </w:r>
      <w:r>
        <w:t xml:space="preserve">Cloudflare owns and operates its entire network end-to-end, a capital-intensive choice analysts flag as a capital-efficiency moat: new capacity (e.g. GPU compute) can be added to an already-amortized network more cheaply than a new entrant could replicate. Akamai reached comparable integration via the 2022 Linode acquisition (Akamai Connected Cloud), arriving later and by M&amp;A rather than organic build. Fastly has not vertically integrated into general-purpose cloud compute/storage and remains focused on delivery, security, and edge compute specifically. AWS CloudFront is the most integrated in absolute terms, but that integration serves AWS’s wider business rather than being a CDN-specific advantage.</w:t>
      </w:r>
    </w:p>
    <w:p>
      <w:pPr>
        <w:spacing w:after="160"/>
      </w:pPr>
      <w:r>
        <w:rPr>
          <w:b/>
          <w:bCs/>
        </w:rPr>
        <w:t xml:space="preserve">e. Cost position — </w:t>
      </w:r>
      <w:r>
        <w:rPr>
          <w:b/>
          <w:bCs/>
          <w:color w:val="333333"/>
        </w:rPr>
        <w:t xml:space="preserve">Cloudflare ahead. </w:t>
      </w:r>
      <w:r>
        <w:t xml:space="preserve">None of the three specialist vendors publish per-unit delivery costs (data gap), but indirect evidence is consistent: Akamai is described as running 20–40% more expensive than CloudFront for equivalent traffic and "the most expensive option for small and mid-size streaming operations"; Fastly is estimated at 3–7x Cloudflare’s price for similar workloads in one independent comparison. Cloudflare’s ability to sustain a genuinely capable free tier (unmetered DDoS protection and CDN at $0) is only viable with a structurally low marginal cost-to-serve on its shared anycast network. AWS’s shift to $0/month flat-rate bundles in November 2025 is the clearest direct evidence of hyperscaler cost pressure being brought to bear on the specialists.</w:t>
      </w:r>
    </w:p>
    <w:p>
      <w:pPr>
        <w:spacing w:after="160"/>
      </w:pPr>
      <w:r>
        <w:rPr>
          <w:b/>
          <w:bCs/>
        </w:rPr>
        <w:t xml:space="preserve">f. Service — </w:t>
      </w:r>
      <w:r>
        <w:rPr>
          <w:b/>
          <w:bCs/>
          <w:color w:val="333333"/>
        </w:rPr>
        <w:t xml:space="preserve">Akamai ahead on enterprise depth; Cloudflare and Fastly at parity. </w:t>
      </w:r>
      <w:r>
        <w:t xml:space="preserve">Akamai reviewers specifically cite strong enterprise support, consistent with its financial-services and media customer base. Fastly reviewers praise responsiveness, but its Net Promoter Score of 24 (55% promoters, 31% detractors) is a middling result with a notably high detractor share for a technically well-regarded product. Cloudflare’s reviews are strong on self-service ease of use but repeatedly flag "confusing pricing" as a friction point — a service/support gap rather than a product one. No directly comparable NPS figure was found for Cloudflare or Akamai (data gap).</w:t>
      </w:r>
    </w:p>
    <w:p>
      <w:pPr>
        <w:spacing w:after="160"/>
      </w:pPr>
      <w:r>
        <w:rPr>
          <w:b/>
          <w:bCs/>
        </w:rPr>
        <w:t xml:space="preserve">g. Pricing — </w:t>
      </w:r>
      <w:r>
        <w:rPr>
          <w:b/>
          <w:bCs/>
          <w:color w:val="333333"/>
        </w:rPr>
        <w:t xml:space="preserve">Cloudflare ahead. </w:t>
      </w:r>
      <w:r>
        <w:t xml:space="preserve">Cloudflare runs the most aggressive land-and-expand structure of the three: a genuinely useful free tier, low self-service tiers, then negotiated enterprise pricing — reportedly powering roughly 20% of all websites’ use of Cloudflare in some capacity, and converting into 25%+ YoY growth in $100k+ accounts and 118% net-dollar retention. Fastly’s retention trend is the most improved of the three (102% → 110% NRR over the past year) off a smaller base, but its premium pricing limits how far it can go on cost-sensitive workloads. Akamai’s pricing power looks concentrated in its growing security segment; its legacy delivery segment is described as declining.</w:t>
      </w:r>
    </w:p>
    <w:p>
      <w:pPr>
        <w:spacing w:after="160"/>
      </w:pPr>
      <w:r>
        <w:rPr>
          <w:b/>
          <w:bCs/>
        </w:rPr>
        <w:t xml:space="preserve">h. Brand identification — </w:t>
      </w:r>
      <w:r>
        <w:rPr>
          <w:b/>
          <w:bCs/>
          <w:color w:val="333333"/>
        </w:rPr>
        <w:t xml:space="preserve">Cloudflare ahead. </w:t>
      </w:r>
      <w:r>
        <w:t xml:space="preserve">Cloudflare is consistently described as the CDN/reverse-proxy market leader and is undergoing a favourable analyst re-rating from "cybersecurity" to "AI infrastructure" positioning — itself a brand signal that typically commands a higher valuation multiple. Akamai’s brand is a real asset within enterprise/financial-services accounts but resonates less with the developer audience increasingly choosing the delivery layer. Fastly’s brand is strongest specifically among engineering-led teams that value programmability and purge speed — a narrower but genuine position.</w:t>
      </w:r>
    </w:p>
    <w:p>
      <w:pPr>
        <w:spacing w:after="160"/>
      </w:pPr>
      <w:r>
        <w:rPr>
          <w:b/>
          <w:bCs/>
        </w:rPr>
        <w:t xml:space="preserve">i. Distribution channel focus — </w:t>
      </w:r>
      <w:r>
        <w:rPr>
          <w:b/>
          <w:bCs/>
          <w:color w:val="333333"/>
        </w:rPr>
        <w:t xml:space="preserve">Cloudflare ahead. </w:t>
      </w:r>
      <w:r>
        <w:t xml:space="preserve">Cloudflare runs a dual-motion channel — a large free/self-service funnel feeding an enterprise sales motion that is itself scaling (customers over $100k ARR now 72% of revenue, growing 25% YoY). Fastly runs a similar but smaller-scale dual motion. Akamai is predominantly direct enterprise sales with a much smaller self-service surface. AWS CloudFront’s channel is captive: distribution through the existing AWS console and billing relationship, winning on convenience rather than competing for CDN mindshare independently.</w:t>
      </w:r>
    </w:p>
    <w:p>
      <w:pPr>
        <w:spacing w:after="160"/>
      </w:pPr>
      <w:r>
        <w:rPr>
          <w:b/>
          <w:bCs/>
        </w:rPr>
        <w:t xml:space="preserve">j. Differentiation — </w:t>
      </w:r>
      <w:r>
        <w:rPr>
          <w:b/>
          <w:bCs/>
          <w:color w:val="333333"/>
        </w:rPr>
        <w:t xml:space="preserve">Cloudflare ahead; Fastly ahead on a narrow axis. </w:t>
      </w:r>
      <w:r>
        <w:t xml:space="preserve">Cloudflare’s differentiation claim is architectural: one platform spanning CDN, security, Zero Trust, and edge compute, plus the traffic-data/AI flywheel analysts increasingly cite. Fastly’s differentiation is technical and evidenced — WASM-based Compute supporting multiple languages, and the fastest independently-cited purge speed in the category. Akamai’s differentiation is vertical depth (media/broadcast monitoring, financial services) rather than platform breadth. CloudFront’s differentiation is inherited from AWS rather than independently evidenced.</w:t>
      </w:r>
    </w:p>
    <w:p>
      <w:pPr>
        <w:spacing w:after="160"/>
      </w:pPr>
      <w:r>
        <w:rPr>
          <w:b/>
          <w:bCs/>
        </w:rPr>
        <w:t xml:space="preserve">k. Network effects — </w:t>
      </w:r>
      <w:r>
        <w:rPr>
          <w:b/>
          <w:bCs/>
          <w:color w:val="333333"/>
        </w:rPr>
        <w:t xml:space="preserve">Cloudflare ahead. </w:t>
      </w:r>
      <w:r>
        <w:t xml:space="preserve">Cloudflare’s clearest network effect is a data one: visibility into an estimated ~20% of internet traffic means every customer’s traffic improves threat-detection models for every other customer — a mechanism the company and analysts actively cite. It is also building a two-sided developer ecosystem around Workers that adds switching value as it grows. Akamai plausibly has a comparable security data pool given its scale, but it is far less evidenced or marketed. Fastly, as the smallest network of the three, shows the least evidence of a data-driven flywheel. CloudFront benefits from AWS’s broader ecosystem effects, which are not CDN-specific.</w:t>
      </w:r>
    </w:p>
    <w:p>
      <w:pPr>
        <w:spacing w:after="160"/>
      </w:pPr>
      <w:r>
        <w:rPr>
          <w:b/>
          <w:bCs/>
        </w:rPr>
        <w:t xml:space="preserve">l. Operating leverage — </w:t>
      </w:r>
      <w:r>
        <w:rPr>
          <w:b/>
          <w:bCs/>
          <w:color w:val="333333"/>
        </w:rPr>
        <w:t xml:space="preserve">Mixed — no single leader. </w:t>
      </w:r>
      <w:r>
        <w:t xml:space="preserve">Akamai is the most GAAP-profitable and mature of the three today, with its leverage story driven by mix-shift (faster-growing, higher-margin security replacing slower legacy delivery). Fastly is improving fastest off a low base — FY2025 was its first full profitable year ($19.7M net income) alongside 23% revenue growth. Cloudflare has the largest long-run structural potential per analyst commentary (new revenue layered onto an already-amortized network), reflected in a 14.0% non-GAAP operating margin, but remains GAAP-unprofitable (-9.6% margin, FY2025; -$102M net loss) — a forward-looking case rather than a proven one today.</w:t>
      </w:r>
    </w:p>
    <w:p>
      <w:pPr>
        <w:spacing w:after="160"/>
      </w:pPr>
      <w:r>
        <w:rPr>
          <w:b/>
          <w:bCs/>
        </w:rPr>
        <w:t xml:space="preserve">m. Lock-in — </w:t>
      </w:r>
      <w:r>
        <w:rPr>
          <w:b/>
          <w:bCs/>
          <w:color w:val="333333"/>
        </w:rPr>
        <w:t xml:space="preserve">Cloudflare ahead. </w:t>
      </w:r>
      <w:r>
        <w:t xml:space="preserve">Independent migration research cites 6–16+ engineer-weeks for a "modest" multi-property CDN migration, extending well beyond that with heavy edge-logic or compliance requirements — and specifically flags that custom Workers/edge-runtime code deepens lock-in the more of it a customer writes. Cloudflare has the broadest surface for this given its platform breadth (CDN, security, Zero Trust, Workers, and R2 all on one control plane), and its 118% net retention is a market-tested proxy for that stickiness. Notably, Cloudflare has stood up its own migration services to move customers off competitors — an implicit acknowledgment of how much lock-in exists industry-wide. Akamai’s and Fastly’s lock-in is real but narrower: concentrated in their most integrated enterprise accounts (Akamai) or in code-level configuration (Fastly’s VCL/WASM modules).</w:t>
      </w:r>
    </w:p>
    <w:p>
      <w:pPr>
        <w:pStyle w:val="Heading3"/>
        <w:spacing w:after="100" w:before="200"/>
      </w:pPr>
      <w:r>
        <w:t xml:space="preserve">Summary table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6100"/>
      </w:tblGrid>
      <w:tr>
        <w:trPr>
          <w:tblHeader/>
        </w:trPr>
        <w:tc>
          <w:tcPr>
            <w:tcW w:type="dxa" w:w="3200"/>
            <w:shd w:fill="333333" w:color="auto" w:val="clear"/>
            <w:tcMar>
              <w:top w:type="dxa" w:w="80"/>
              <w:left w:type="dxa" w:w="100"/>
              <w:bottom w:type="dxa" w:w="80"/>
              <w:right w:type="dxa" w:w="100"/>
            </w:tcMar>
          </w:tcPr>
          <w:p>
            <w:pPr>
              <w:jc w:val="left"/>
            </w:pPr>
            <w:r>
              <w:rPr>
                <w:b/>
                <w:bCs/>
                <w:sz w:val="19"/>
                <w:szCs w:val="19"/>
              </w:rPr>
              <w:t xml:space="preserve">Dimension</w:t>
            </w:r>
          </w:p>
        </w:tc>
        <w:tc>
          <w:tcPr>
            <w:tcW w:type="dxa" w:w="6100"/>
            <w:shd w:fill="333333" w:color="auto" w:val="clear"/>
            <w:tcMar>
              <w:top w:type="dxa" w:w="80"/>
              <w:left w:type="dxa" w:w="100"/>
              <w:bottom w:type="dxa" w:w="80"/>
              <w:right w:type="dxa" w:w="100"/>
            </w:tcMar>
          </w:tcPr>
          <w:p>
            <w:pPr>
              <w:jc w:val="left"/>
            </w:pPr>
            <w:r>
              <w:rPr>
                <w:b/>
                <w:bCs/>
                <w:sz w:val="19"/>
                <w:szCs w:val="19"/>
              </w:rPr>
              <w:t xml:space="preserve">Verdict summary</w:t>
            </w:r>
          </w:p>
        </w:tc>
      </w:tr>
      <w:tr>
        <w:tc>
          <w:tcPr>
            <w:tcW w:type="dxa" w:w="3200"/>
            <w:shd w:fill="F3D3BD" w:color="auto" w:val="clear"/>
            <w:tcMar>
              <w:top w:type="dxa" w:w="80"/>
              <w:left w:type="dxa" w:w="100"/>
              <w:bottom w:type="dxa" w:w="80"/>
              <w:right w:type="dxa" w:w="100"/>
            </w:tcMar>
          </w:tcPr>
          <w:p>
            <w:pPr>
              <w:jc w:val="left"/>
            </w:pPr>
            <w:r>
              <w:rPr>
                <w:b/>
                <w:bCs/>
                <w:sz w:val="19"/>
                <w:szCs w:val="19"/>
              </w:rPr>
              <w:t xml:space="preserve">a. Value chain mapping</w:t>
            </w:r>
          </w:p>
        </w:tc>
        <w:tc>
          <w:tcPr>
            <w:tcW w:type="dxa" w:w="6100"/>
            <w:tcMar>
              <w:top w:type="dxa" w:w="80"/>
              <w:left w:type="dxa" w:w="100"/>
              <w:bottom w:type="dxa" w:w="80"/>
              <w:right w:type="dxa" w:w="100"/>
            </w:tcMar>
          </w:tcPr>
          <w:p>
            <w:pPr>
              <w:jc w:val="left"/>
            </w:pPr>
            <w:r>
              <w:rPr>
                <w:b w:val="false"/>
                <w:bCs w:val="false"/>
                <w:sz w:val="19"/>
                <w:szCs w:val="19"/>
              </w:rPr>
              <w:t xml:space="preserve">Cloudflare ahead — spans delivery, security and compute; Akamai at parity via Linode; Fastly behind on breadth; CloudFront structurally different (bundled into AWS).</w:t>
            </w:r>
          </w:p>
        </w:tc>
      </w:tr>
      <w:tr>
        <w:tc>
          <w:tcPr>
            <w:tcW w:type="dxa" w:w="3200"/>
            <w:shd w:fill="F3D3BD" w:color="auto" w:val="clear"/>
            <w:tcMar>
              <w:top w:type="dxa" w:w="80"/>
              <w:left w:type="dxa" w:w="100"/>
              <w:bottom w:type="dxa" w:w="80"/>
              <w:right w:type="dxa" w:w="100"/>
            </w:tcMar>
          </w:tcPr>
          <w:p>
            <w:pPr>
              <w:jc w:val="left"/>
            </w:pPr>
            <w:r>
              <w:rPr>
                <w:b/>
                <w:bCs/>
                <w:sz w:val="19"/>
                <w:szCs w:val="19"/>
              </w:rPr>
              <w:t xml:space="preserve">b. Product quality</w:t>
            </w:r>
          </w:p>
        </w:tc>
        <w:tc>
          <w:tcPr>
            <w:tcW w:type="dxa" w:w="6100"/>
            <w:tcMar>
              <w:top w:type="dxa" w:w="80"/>
              <w:left w:type="dxa" w:w="100"/>
              <w:bottom w:type="dxa" w:w="80"/>
              <w:right w:type="dxa" w:w="100"/>
            </w:tcMar>
          </w:tcPr>
          <w:p>
            <w:pPr>
              <w:jc w:val="left"/>
            </w:pPr>
            <w:r>
              <w:rPr>
                <w:b w:val="false"/>
                <w:bCs w:val="false"/>
                <w:sz w:val="19"/>
                <w:szCs w:val="19"/>
              </w:rPr>
              <w:t xml:space="preserve">At parity — G2 ratings cluster at 4.5–4.6 across all three; each wins on a different axis (Fastly=purge speed, Akamai=enterprise depth, Cloudflare=ease of use).</w:t>
            </w:r>
          </w:p>
        </w:tc>
      </w:tr>
      <w:tr>
        <w:tc>
          <w:tcPr>
            <w:tcW w:type="dxa" w:w="3200"/>
            <w:shd w:fill="F3D3BD" w:color="auto" w:val="clear"/>
            <w:tcMar>
              <w:top w:type="dxa" w:w="80"/>
              <w:left w:type="dxa" w:w="100"/>
              <w:bottom w:type="dxa" w:w="80"/>
              <w:right w:type="dxa" w:w="100"/>
            </w:tcMar>
          </w:tcPr>
          <w:p>
            <w:pPr>
              <w:jc w:val="left"/>
            </w:pPr>
            <w:r>
              <w:rPr>
                <w:b/>
                <w:bCs/>
                <w:sz w:val="19"/>
                <w:szCs w:val="19"/>
              </w:rPr>
              <w:t xml:space="preserve">c. Technology</w:t>
            </w:r>
          </w:p>
        </w:tc>
        <w:tc>
          <w:tcPr>
            <w:tcW w:type="dxa" w:w="6100"/>
            <w:tcMar>
              <w:top w:type="dxa" w:w="80"/>
              <w:left w:type="dxa" w:w="100"/>
              <w:bottom w:type="dxa" w:w="80"/>
              <w:right w:type="dxa" w:w="100"/>
            </w:tcMar>
          </w:tcPr>
          <w:p>
            <w:pPr>
              <w:jc w:val="left"/>
            </w:pPr>
            <w:r>
              <w:rPr>
                <w:b w:val="false"/>
                <w:bCs w:val="false"/>
                <w:sz w:val="19"/>
                <w:szCs w:val="19"/>
              </w:rPr>
              <w:t xml:space="preserve">Cloudflare ahead on adoption/breadth (Workers); Fastly ahead on runtime flexibility (WASM, multi-language); Akamai behind on edge-compute mindshare specifically.</w:t>
            </w:r>
          </w:p>
        </w:tc>
      </w:tr>
      <w:tr>
        <w:tc>
          <w:tcPr>
            <w:tcW w:type="dxa" w:w="3200"/>
            <w:shd w:fill="F3D3BD" w:color="auto" w:val="clear"/>
            <w:tcMar>
              <w:top w:type="dxa" w:w="80"/>
              <w:left w:type="dxa" w:w="100"/>
              <w:bottom w:type="dxa" w:w="80"/>
              <w:right w:type="dxa" w:w="100"/>
            </w:tcMar>
          </w:tcPr>
          <w:p>
            <w:pPr>
              <w:jc w:val="left"/>
            </w:pPr>
            <w:r>
              <w:rPr>
                <w:b/>
                <w:bCs/>
                <w:sz w:val="19"/>
                <w:szCs w:val="19"/>
              </w:rPr>
              <w:t xml:space="preserve">d. Vertical integration</w:t>
            </w:r>
          </w:p>
        </w:tc>
        <w:tc>
          <w:tcPr>
            <w:tcW w:type="dxa" w:w="6100"/>
            <w:tcMar>
              <w:top w:type="dxa" w:w="80"/>
              <w:left w:type="dxa" w:w="100"/>
              <w:bottom w:type="dxa" w:w="80"/>
              <w:right w:type="dxa" w:w="100"/>
            </w:tcMar>
          </w:tcPr>
          <w:p>
            <w:pPr>
              <w:jc w:val="left"/>
            </w:pPr>
            <w:r>
              <w:rPr>
                <w:b w:val="false"/>
                <w:bCs w:val="false"/>
                <w:sz w:val="19"/>
                <w:szCs w:val="19"/>
              </w:rPr>
              <w:t xml:space="preserve">Cloudflare and CloudFront ahead (owned network / owned ecosystem); Akamai at parity (via Linode acquisition); Fastly behind — narrower, no general-purpose cloud layer.</w:t>
            </w:r>
          </w:p>
        </w:tc>
      </w:tr>
      <w:tr>
        <w:tc>
          <w:tcPr>
            <w:tcW w:type="dxa" w:w="3200"/>
            <w:shd w:fill="F3D3BD" w:color="auto" w:val="clear"/>
            <w:tcMar>
              <w:top w:type="dxa" w:w="80"/>
              <w:left w:type="dxa" w:w="100"/>
              <w:bottom w:type="dxa" w:w="80"/>
              <w:right w:type="dxa" w:w="100"/>
            </w:tcMar>
          </w:tcPr>
          <w:p>
            <w:pPr>
              <w:jc w:val="left"/>
            </w:pPr>
            <w:r>
              <w:rPr>
                <w:b/>
                <w:bCs/>
                <w:sz w:val="19"/>
                <w:szCs w:val="19"/>
              </w:rPr>
              <w:t xml:space="preserve">e. Cost position</w:t>
            </w:r>
          </w:p>
        </w:tc>
        <w:tc>
          <w:tcPr>
            <w:tcW w:type="dxa" w:w="6100"/>
            <w:tcMar>
              <w:top w:type="dxa" w:w="80"/>
              <w:left w:type="dxa" w:w="100"/>
              <w:bottom w:type="dxa" w:w="80"/>
              <w:right w:type="dxa" w:w="100"/>
            </w:tcMar>
          </w:tcPr>
          <w:p>
            <w:pPr>
              <w:jc w:val="left"/>
            </w:pPr>
            <w:r>
              <w:rPr>
                <w:b w:val="false"/>
                <w:bCs w:val="false"/>
                <w:sz w:val="19"/>
                <w:szCs w:val="19"/>
              </w:rPr>
              <w:t xml:space="preserve">Cloudflare ahead — lowest evidenced cost-to-serve; Akamai and Fastly priced at a premium to Cloudflare in independent comparisons.</w:t>
            </w:r>
          </w:p>
        </w:tc>
      </w:tr>
      <w:tr>
        <w:tc>
          <w:tcPr>
            <w:tcW w:type="dxa" w:w="3200"/>
            <w:shd w:fill="F3D3BD" w:color="auto" w:val="clear"/>
            <w:tcMar>
              <w:top w:type="dxa" w:w="80"/>
              <w:left w:type="dxa" w:w="100"/>
              <w:bottom w:type="dxa" w:w="80"/>
              <w:right w:type="dxa" w:w="100"/>
            </w:tcMar>
          </w:tcPr>
          <w:p>
            <w:pPr>
              <w:jc w:val="left"/>
            </w:pPr>
            <w:r>
              <w:rPr>
                <w:b/>
                <w:bCs/>
                <w:sz w:val="19"/>
                <w:szCs w:val="19"/>
              </w:rPr>
              <w:t xml:space="preserve">f. Service</w:t>
            </w:r>
          </w:p>
        </w:tc>
        <w:tc>
          <w:tcPr>
            <w:tcW w:type="dxa" w:w="6100"/>
            <w:tcMar>
              <w:top w:type="dxa" w:w="80"/>
              <w:left w:type="dxa" w:w="100"/>
              <w:bottom w:type="dxa" w:w="80"/>
              <w:right w:type="dxa" w:w="100"/>
            </w:tcMar>
          </w:tcPr>
          <w:p>
            <w:pPr>
              <w:jc w:val="left"/>
            </w:pPr>
            <w:r>
              <w:rPr>
                <w:b w:val="false"/>
                <w:bCs w:val="false"/>
                <w:sz w:val="19"/>
                <w:szCs w:val="19"/>
              </w:rPr>
              <w:t xml:space="preserve">Akamai ahead on enterprise support depth; Fastly at parity (responsive, but wider NPS detractor base); Cloudflare strong on self-service, weaker on pricing clarity.</w:t>
            </w:r>
          </w:p>
        </w:tc>
      </w:tr>
      <w:tr>
        <w:tc>
          <w:tcPr>
            <w:tcW w:type="dxa" w:w="3200"/>
            <w:shd w:fill="F3D3BD" w:color="auto" w:val="clear"/>
            <w:tcMar>
              <w:top w:type="dxa" w:w="80"/>
              <w:left w:type="dxa" w:w="100"/>
              <w:bottom w:type="dxa" w:w="80"/>
              <w:right w:type="dxa" w:w="100"/>
            </w:tcMar>
          </w:tcPr>
          <w:p>
            <w:pPr>
              <w:jc w:val="left"/>
            </w:pPr>
            <w:r>
              <w:rPr>
                <w:b/>
                <w:bCs/>
                <w:sz w:val="19"/>
                <w:szCs w:val="19"/>
              </w:rPr>
              <w:t xml:space="preserve">g. Pricing</w:t>
            </w:r>
          </w:p>
        </w:tc>
        <w:tc>
          <w:tcPr>
            <w:tcW w:type="dxa" w:w="6100"/>
            <w:tcMar>
              <w:top w:type="dxa" w:w="80"/>
              <w:left w:type="dxa" w:w="100"/>
              <w:bottom w:type="dxa" w:w="80"/>
              <w:right w:type="dxa" w:w="100"/>
            </w:tcMar>
          </w:tcPr>
          <w:p>
            <w:pPr>
              <w:jc w:val="left"/>
            </w:pPr>
            <w:r>
              <w:rPr>
                <w:b w:val="false"/>
                <w:bCs w:val="false"/>
                <w:sz w:val="19"/>
                <w:szCs w:val="19"/>
              </w:rPr>
              <w:t xml:space="preserve">Cloudflare ahead — widest funnel plus rising retention; Fastly improving fastest; Akamai pricing power concentrated in security, not legacy delivery.</w:t>
            </w:r>
          </w:p>
        </w:tc>
      </w:tr>
      <w:tr>
        <w:tc>
          <w:tcPr>
            <w:tcW w:type="dxa" w:w="3200"/>
            <w:shd w:fill="F3D3BD" w:color="auto" w:val="clear"/>
            <w:tcMar>
              <w:top w:type="dxa" w:w="80"/>
              <w:left w:type="dxa" w:w="100"/>
              <w:bottom w:type="dxa" w:w="80"/>
              <w:right w:type="dxa" w:w="100"/>
            </w:tcMar>
          </w:tcPr>
          <w:p>
            <w:pPr>
              <w:jc w:val="left"/>
            </w:pPr>
            <w:r>
              <w:rPr>
                <w:b/>
                <w:bCs/>
                <w:sz w:val="19"/>
                <w:szCs w:val="19"/>
              </w:rPr>
              <w:t xml:space="preserve">h. Brand identification</w:t>
            </w:r>
          </w:p>
        </w:tc>
        <w:tc>
          <w:tcPr>
            <w:tcW w:type="dxa" w:w="6100"/>
            <w:tcMar>
              <w:top w:type="dxa" w:w="80"/>
              <w:left w:type="dxa" w:w="100"/>
              <w:bottom w:type="dxa" w:w="80"/>
              <w:right w:type="dxa" w:w="100"/>
            </w:tcMar>
          </w:tcPr>
          <w:p>
            <w:pPr>
              <w:jc w:val="left"/>
            </w:pPr>
            <w:r>
              <w:rPr>
                <w:b w:val="false"/>
                <w:bCs w:val="false"/>
                <w:sz w:val="19"/>
                <w:szCs w:val="19"/>
              </w:rPr>
              <w:t xml:space="preserve">Cloudflare ahead — broadest recognition and a favourable "AI infrastructure" re-rating; Akamai and Fastly each strong within narrower niches.</w:t>
            </w:r>
          </w:p>
        </w:tc>
      </w:tr>
      <w:tr>
        <w:tc>
          <w:tcPr>
            <w:tcW w:type="dxa" w:w="3200"/>
            <w:shd w:fill="F3D3BD" w:color="auto" w:val="clear"/>
            <w:tcMar>
              <w:top w:type="dxa" w:w="80"/>
              <w:left w:type="dxa" w:w="100"/>
              <w:bottom w:type="dxa" w:w="80"/>
              <w:right w:type="dxa" w:w="100"/>
            </w:tcMar>
          </w:tcPr>
          <w:p>
            <w:pPr>
              <w:jc w:val="left"/>
            </w:pPr>
            <w:r>
              <w:rPr>
                <w:b/>
                <w:bCs/>
                <w:sz w:val="19"/>
                <w:szCs w:val="19"/>
              </w:rPr>
              <w:t xml:space="preserve">i. Distribution channel</w:t>
            </w:r>
          </w:p>
        </w:tc>
        <w:tc>
          <w:tcPr>
            <w:tcW w:type="dxa" w:w="6100"/>
            <w:tcMar>
              <w:top w:type="dxa" w:w="80"/>
              <w:left w:type="dxa" w:w="100"/>
              <w:bottom w:type="dxa" w:w="80"/>
              <w:right w:type="dxa" w:w="100"/>
            </w:tcMar>
          </w:tcPr>
          <w:p>
            <w:pPr>
              <w:jc w:val="left"/>
            </w:pPr>
            <w:r>
              <w:rPr>
                <w:b w:val="false"/>
                <w:bCs w:val="false"/>
                <w:sz w:val="19"/>
                <w:szCs w:val="19"/>
              </w:rPr>
              <w:t xml:space="preserve">Cloudflare ahead — dual PLG + enterprise motion at scale; Fastly at parity, smaller scale; Akamai behind on self-service; CloudFront wins via AWS bundling.</w:t>
            </w:r>
          </w:p>
        </w:tc>
      </w:tr>
      <w:tr>
        <w:tc>
          <w:tcPr>
            <w:tcW w:type="dxa" w:w="3200"/>
            <w:shd w:fill="F3D3BD" w:color="auto" w:val="clear"/>
            <w:tcMar>
              <w:top w:type="dxa" w:w="80"/>
              <w:left w:type="dxa" w:w="100"/>
              <w:bottom w:type="dxa" w:w="80"/>
              <w:right w:type="dxa" w:w="100"/>
            </w:tcMar>
          </w:tcPr>
          <w:p>
            <w:pPr>
              <w:jc w:val="left"/>
            </w:pPr>
            <w:r>
              <w:rPr>
                <w:b/>
                <w:bCs/>
                <w:sz w:val="19"/>
                <w:szCs w:val="19"/>
              </w:rPr>
              <w:t xml:space="preserve">j. Differentiation</w:t>
            </w:r>
          </w:p>
        </w:tc>
        <w:tc>
          <w:tcPr>
            <w:tcW w:type="dxa" w:w="6100"/>
            <w:tcMar>
              <w:top w:type="dxa" w:w="80"/>
              <w:left w:type="dxa" w:w="100"/>
              <w:bottom w:type="dxa" w:w="80"/>
              <w:right w:type="dxa" w:w="100"/>
            </w:tcMar>
          </w:tcPr>
          <w:p>
            <w:pPr>
              <w:jc w:val="left"/>
            </w:pPr>
            <w:r>
              <w:rPr>
                <w:b w:val="false"/>
                <w:bCs w:val="false"/>
                <w:sz w:val="19"/>
                <w:szCs w:val="19"/>
              </w:rPr>
              <w:t xml:space="preserve">Cloudflare ahead — platform breadth plus a traffic-data/AI flywheel; Fastly ahead on a narrow technical axis; Akamai at parity in its verticals.</w:t>
            </w:r>
          </w:p>
        </w:tc>
      </w:tr>
      <w:tr>
        <w:tc>
          <w:tcPr>
            <w:tcW w:type="dxa" w:w="3200"/>
            <w:shd w:fill="F3D3BD" w:color="auto" w:val="clear"/>
            <w:tcMar>
              <w:top w:type="dxa" w:w="80"/>
              <w:left w:type="dxa" w:w="100"/>
              <w:bottom w:type="dxa" w:w="80"/>
              <w:right w:type="dxa" w:w="100"/>
            </w:tcMar>
          </w:tcPr>
          <w:p>
            <w:pPr>
              <w:jc w:val="left"/>
            </w:pPr>
            <w:r>
              <w:rPr>
                <w:b/>
                <w:bCs/>
                <w:sz w:val="19"/>
                <w:szCs w:val="19"/>
              </w:rPr>
              <w:t xml:space="preserve">k. Network effects</w:t>
            </w:r>
          </w:p>
        </w:tc>
        <w:tc>
          <w:tcPr>
            <w:tcW w:type="dxa" w:w="6100"/>
            <w:tcMar>
              <w:top w:type="dxa" w:w="80"/>
              <w:left w:type="dxa" w:w="100"/>
              <w:bottom w:type="dxa" w:w="80"/>
              <w:right w:type="dxa" w:w="100"/>
            </w:tcMar>
          </w:tcPr>
          <w:p>
            <w:pPr>
              <w:jc w:val="left"/>
            </w:pPr>
            <w:r>
              <w:rPr>
                <w:b w:val="false"/>
                <w:bCs w:val="false"/>
                <w:sz w:val="19"/>
                <w:szCs w:val="19"/>
              </w:rPr>
              <w:t xml:space="preserve">Cloudflare ahead — an evidenced, actively-cited security data network effect; Akamai plausible but less evidenced; Fastly behind — smallest network.</w:t>
            </w:r>
          </w:p>
        </w:tc>
      </w:tr>
      <w:tr>
        <w:tc>
          <w:tcPr>
            <w:tcW w:type="dxa" w:w="3200"/>
            <w:shd w:fill="F3D3BD" w:color="auto" w:val="clear"/>
            <w:tcMar>
              <w:top w:type="dxa" w:w="80"/>
              <w:left w:type="dxa" w:w="100"/>
              <w:bottom w:type="dxa" w:w="80"/>
              <w:right w:type="dxa" w:w="100"/>
            </w:tcMar>
          </w:tcPr>
          <w:p>
            <w:pPr>
              <w:jc w:val="left"/>
            </w:pPr>
            <w:r>
              <w:rPr>
                <w:b/>
                <w:bCs/>
                <w:sz w:val="19"/>
                <w:szCs w:val="19"/>
              </w:rPr>
              <w:t xml:space="preserve">l. Operating leverage</w:t>
            </w:r>
          </w:p>
        </w:tc>
        <w:tc>
          <w:tcPr>
            <w:tcW w:type="dxa" w:w="6100"/>
            <w:tcMar>
              <w:top w:type="dxa" w:w="80"/>
              <w:left w:type="dxa" w:w="100"/>
              <w:bottom w:type="dxa" w:w="80"/>
              <w:right w:type="dxa" w:w="100"/>
            </w:tcMar>
          </w:tcPr>
          <w:p>
            <w:pPr>
              <w:jc w:val="left"/>
            </w:pPr>
            <w:r>
              <w:rPr>
                <w:b w:val="false"/>
                <w:bCs w:val="false"/>
                <w:sz w:val="19"/>
                <w:szCs w:val="19"/>
              </w:rPr>
              <w:t xml:space="preserve">Mixed: Akamai ahead on current GAAP profitability; Cloudflare ahead on long-run structural potential; Fastly ahead on rate of improvement.</w:t>
            </w:r>
          </w:p>
        </w:tc>
      </w:tr>
      <w:tr>
        <w:tc>
          <w:tcPr>
            <w:tcW w:type="dxa" w:w="3200"/>
            <w:shd w:fill="F3D3BD" w:color="auto" w:val="clear"/>
            <w:tcMar>
              <w:top w:type="dxa" w:w="80"/>
              <w:left w:type="dxa" w:w="100"/>
              <w:bottom w:type="dxa" w:w="80"/>
              <w:right w:type="dxa" w:w="100"/>
            </w:tcMar>
          </w:tcPr>
          <w:p>
            <w:pPr>
              <w:jc w:val="left"/>
            </w:pPr>
            <w:r>
              <w:rPr>
                <w:b/>
                <w:bCs/>
                <w:sz w:val="19"/>
                <w:szCs w:val="19"/>
              </w:rPr>
              <w:t xml:space="preserve">m. Lock-in</w:t>
            </w:r>
          </w:p>
        </w:tc>
        <w:tc>
          <w:tcPr>
            <w:tcW w:type="dxa" w:w="6100"/>
            <w:tcMar>
              <w:top w:type="dxa" w:w="80"/>
              <w:left w:type="dxa" w:w="100"/>
              <w:bottom w:type="dxa" w:w="80"/>
              <w:right w:type="dxa" w:w="100"/>
            </w:tcMar>
          </w:tcPr>
          <w:p>
            <w:pPr>
              <w:jc w:val="left"/>
            </w:pPr>
            <w:r>
              <w:rPr>
                <w:b w:val="false"/>
                <w:bCs w:val="false"/>
                <w:sz w:val="19"/>
                <w:szCs w:val="19"/>
              </w:rPr>
              <w:t xml:space="preserve">Cloudflare ahead — broadest platform stickiness, evidenced by 118% NRR; Akamai and Fastly at parity — real but narrower, more technical lock-in.</w:t>
            </w:r>
          </w:p>
        </w:tc>
      </w:tr>
    </w:tbl>
    <w:p>
      <w:pPr>
        <w:pStyle w:val="Heading2"/>
        <w:spacing w:after="120" w:before="280"/>
      </w:pPr>
      <w:r>
        <w:t xml:space="preserve">Synthesis</w:t>
      </w:r>
    </w:p>
    <w:p>
      <w:pPr>
        <w:spacing w:after="160"/>
      </w:pPr>
      <w:r>
        <w:t xml:space="preserve">Cloudflare holds a broad, evidenced competitive lead across most of the thirteen dimensions assessed — platform breadth, an actively-cited data network effect, the widest and most efficient go-to-market funnel, and rising net retention (118%) all point the same direction. Akamai remains the more profitable, more enterprise-trusted incumbent, with its security-segment pivot genuinely working even as its legacy delivery business drags on growth. Fastly is the smallest of the three but shows the most improvement on nearly every trend line in this research pass (retention, profitability, revenue growth) and retains a real, narrow technical edge for engineering-heavy customers.</w:t>
      </w:r>
    </w:p>
    <w:p>
      <w:pPr>
        <w:spacing w:after="160"/>
      </w:pPr>
      <w:r>
        <w:t xml:space="preserve">Clear strengths: platform breadth spanning delivery, security, and compute under one control plane; a capital-efficient, fully-owned network that (per analyst commentary) can absorb new workloads at low marginal cost; and a self-service funnel large enough to fuel enterprise growth without proportional sales spend.</w:t>
      </w:r>
    </w:p>
    <w:p>
      <w:pPr>
        <w:spacing w:after="160"/>
      </w:pPr>
      <w:r>
        <w:t xml:space="preserve">Clear vulnerabilities: still GAAP-unprofitable (-$102M net loss, FY2025); gross margin under pressure as free traffic converts to paid (77% → 73% YoY); and the May 2026 restructuring — a ~20% workforce cut alongside record revenue — was read by the market as an open question about execution and cost discipline, not a resolved one (the stock fell 24% on the announcement). One dissenting view surfaced in this research: a return-on-invested-capital reading that has ROIC currently below WACC, i.e. competitive position has not yet fully translated into economic value capture.</w:t>
      </w:r>
    </w:p>
    <w:p>
      <w:pPr>
        <w:spacing w:after="160"/>
      </w:pPr>
      <w:r>
        <w:t xml:space="preserve">Moat assessment: durable in a competitive-positioning sense — the combination of network breadth, data network effects, and capital-efficiency would be genuinely difficult for Akamai or Fastly to replicate without a comparable multi-year capital commitment — but not yet a fully proven moat in the classic economic-return sense, given continued GAAP losses. This is best read as a strengthening, not-yet-fully-monetized moat rather than an already-cashed-in one.</w:t>
      </w:r>
    </w:p>
    <w:p>
      <w:pPr>
        <w:pStyle w:val="Heading2"/>
        <w:spacing w:after="120" w:before="280"/>
      </w:pPr>
      <w:r>
        <w:t xml:space="preserve">Sources</w:t>
      </w:r>
    </w:p>
    <w:p>
      <w:pPr>
        <w:spacing w:after="60"/>
      </w:pPr>
      <w:r>
        <w:rPr>
          <w:sz w:val="18"/>
          <w:szCs w:val="18"/>
        </w:rPr>
        <w:t xml:space="preserve">Cloudflare Q1 2026 Financial Results (press release) — </w:t>
      </w:r>
      <w:r>
        <w:rPr>
          <w:color w:val="48E5C2"/>
          <w:sz w:val="18"/>
          <w:szCs w:val="18"/>
        </w:rPr>
        <w:t xml:space="preserve">https://www.cloudflare.com/press/press-releases/2026/cloudflare-announces-first-quarter-2026-financial-results/</w:t>
      </w:r>
    </w:p>
    <w:p>
      <w:pPr>
        <w:spacing w:after="60"/>
      </w:pPr>
      <w:r>
        <w:rPr>
          <w:sz w:val="18"/>
          <w:szCs w:val="18"/>
        </w:rPr>
        <w:t xml:space="preserve">Cloudflare Q4/FY2025 Financial Results (press release) — </w:t>
      </w:r>
      <w:r>
        <w:rPr>
          <w:color w:val="48E5C2"/>
          <w:sz w:val="18"/>
          <w:szCs w:val="18"/>
        </w:rPr>
        <w:t xml:space="preserve">https://www.cloudflare.com/press/press-releases/2026/cloudflare-announces-fourth-quarter-and-fiscal-year-2025-financial-results/</w:t>
      </w:r>
    </w:p>
    <w:p>
      <w:pPr>
        <w:spacing w:after="60"/>
      </w:pPr>
      <w:r>
        <w:rPr>
          <w:sz w:val="18"/>
          <w:szCs w:val="18"/>
        </w:rPr>
        <w:t xml:space="preserve">Cloudflare Q1 2026: 34% Revenue Growth But Announces 20% Workforce Reduction — TIKR — </w:t>
      </w:r>
      <w:r>
        <w:rPr>
          <w:color w:val="48E5C2"/>
          <w:sz w:val="18"/>
          <w:szCs w:val="18"/>
        </w:rPr>
        <w:t xml:space="preserve">https://www.tikr.com/blog/cloudflare-q1-2026-34-revenue-growth-but-announces-20-workforce-reduction</w:t>
      </w:r>
    </w:p>
    <w:p>
      <w:pPr>
        <w:spacing w:after="60"/>
      </w:pPr>
      <w:r>
        <w:rPr>
          <w:sz w:val="18"/>
          <w:szCs w:val="18"/>
        </w:rPr>
        <w:t xml:space="preserve">Cloudflare Q1 2026 Earnings Call Transcript — The Motley Fool — </w:t>
      </w:r>
      <w:r>
        <w:rPr>
          <w:color w:val="48E5C2"/>
          <w:sz w:val="18"/>
          <w:szCs w:val="18"/>
        </w:rPr>
        <w:t xml:space="preserve">https://www.fool.com/earnings/call-transcripts/2026/05/07/cloudflare-net-q1-2026-earnings-call-transcript/</w:t>
      </w:r>
    </w:p>
    <w:p>
      <w:pPr>
        <w:spacing w:after="60"/>
      </w:pPr>
      <w:r>
        <w:rPr>
          <w:sz w:val="18"/>
          <w:szCs w:val="18"/>
        </w:rPr>
        <w:t xml:space="preserve">Cloudflare says AI made 1,100 jobs obsolete, even as revenue hit a record high — TechCrunch — </w:t>
      </w:r>
      <w:r>
        <w:rPr>
          <w:color w:val="48E5C2"/>
          <w:sz w:val="18"/>
          <w:szCs w:val="18"/>
        </w:rPr>
        <w:t xml:space="preserve">https://techcrunch.com/2026/05/08/cloudflare-says-ai-made-1100-jobs-obsolete-even-as-revenue-hit-a-record-high/</w:t>
      </w:r>
    </w:p>
    <w:p>
      <w:pPr>
        <w:spacing w:after="60"/>
      </w:pPr>
      <w:r>
        <w:rPr>
          <w:sz w:val="18"/>
          <w:szCs w:val="18"/>
        </w:rPr>
        <w:t xml:space="preserve">Cloudflare stock sinks 24% after earnings — CNBC — </w:t>
      </w:r>
      <w:r>
        <w:rPr>
          <w:color w:val="48E5C2"/>
          <w:sz w:val="18"/>
          <w:szCs w:val="18"/>
        </w:rPr>
        <w:t xml:space="preserve">https://www.cnbc.com/2026/05/07/cloudflare-net-q1-2026-stock-earnings-layoffs.html</w:t>
      </w:r>
    </w:p>
    <w:p>
      <w:pPr>
        <w:spacing w:after="60"/>
      </w:pPr>
      <w:r>
        <w:rPr>
          <w:sz w:val="18"/>
          <w:szCs w:val="18"/>
        </w:rPr>
        <w:t xml:space="preserve">Cloudflare Research and Development Expenses 2017–2025 — MacroTrends — </w:t>
      </w:r>
      <w:r>
        <w:rPr>
          <w:color w:val="48E5C2"/>
          <w:sz w:val="18"/>
          <w:szCs w:val="18"/>
        </w:rPr>
        <w:t xml:space="preserve">https://www.macrotrends.net/stocks/charts/NET/cloudflare/research-development-expenses</w:t>
      </w:r>
    </w:p>
    <w:p>
      <w:pPr>
        <w:spacing w:after="60"/>
      </w:pPr>
      <w:r>
        <w:rPr>
          <w:sz w:val="18"/>
          <w:szCs w:val="18"/>
        </w:rPr>
        <w:t xml:space="preserve">Cloudflare Global Network — cloudflare.com — </w:t>
      </w:r>
      <w:r>
        <w:rPr>
          <w:color w:val="48E5C2"/>
          <w:sz w:val="18"/>
          <w:szCs w:val="18"/>
        </w:rPr>
        <w:t xml:space="preserve">https://www.cloudflare.com/network/</w:t>
      </w:r>
    </w:p>
    <w:p>
      <w:pPr>
        <w:spacing w:after="60"/>
      </w:pPr>
      <w:r>
        <w:rPr>
          <w:sz w:val="18"/>
          <w:szCs w:val="18"/>
        </w:rPr>
        <w:t xml:space="preserve">Cloudflare Statistics 2026: Network Size and Market Share — SQ Magazine — </w:t>
      </w:r>
      <w:r>
        <w:rPr>
          <w:color w:val="48E5C2"/>
          <w:sz w:val="18"/>
          <w:szCs w:val="18"/>
        </w:rPr>
        <w:t xml:space="preserve">https://sqmagazine.co.uk/cloudflare-statistics/</w:t>
      </w:r>
    </w:p>
    <w:p>
      <w:pPr>
        <w:spacing w:after="60"/>
      </w:pPr>
      <w:r>
        <w:rPr>
          <w:sz w:val="18"/>
          <w:szCs w:val="18"/>
        </w:rPr>
        <w:t xml:space="preserve">Cloudflare Pricing Explained — Spendbase — </w:t>
      </w:r>
      <w:r>
        <w:rPr>
          <w:color w:val="48E5C2"/>
          <w:sz w:val="18"/>
          <w:szCs w:val="18"/>
        </w:rPr>
        <w:t xml:space="preserve">https://www.spendbase.co/blog/cost-optimization/cloudflare-pricing-explained-free-pro-business-and-enterprise-plans/</w:t>
      </w:r>
    </w:p>
    <w:p>
      <w:pPr>
        <w:spacing w:after="60"/>
      </w:pPr>
      <w:r>
        <w:rPr>
          <w:sz w:val="18"/>
          <w:szCs w:val="18"/>
        </w:rPr>
        <w:t xml:space="preserve">The Connectivity Cloud: A Deep Dive into Cloudflare’s 2026 Market Dominance — FinancialContent — </w:t>
      </w:r>
      <w:r>
        <w:rPr>
          <w:color w:val="48E5C2"/>
          <w:sz w:val="18"/>
          <w:szCs w:val="18"/>
        </w:rPr>
        <w:t xml:space="preserve">https://markets.financialcontent.com/stocks/article/finterra-2026-3-19-the-connectivity-cloud-a-deep-dive-into-cloudflares-net-2026-market-dominance</w:t>
      </w:r>
    </w:p>
    <w:p>
      <w:pPr>
        <w:spacing w:after="60"/>
      </w:pPr>
      <w:r>
        <w:rPr>
          <w:sz w:val="18"/>
          <w:szCs w:val="18"/>
        </w:rPr>
        <w:t xml:space="preserve">Is Cloudflare a Turnaround Play? 2026 Growth vs. Moat Review — Artificall — </w:t>
      </w:r>
      <w:r>
        <w:rPr>
          <w:color w:val="48E5C2"/>
          <w:sz w:val="18"/>
          <w:szCs w:val="18"/>
        </w:rPr>
        <w:t xml:space="preserve">https://artificall.com/analysis/companies/cloudflare-inc/</w:t>
      </w:r>
    </w:p>
    <w:p>
      <w:pPr>
        <w:spacing w:after="60"/>
      </w:pPr>
      <w:r>
        <w:rPr>
          <w:sz w:val="18"/>
          <w:szCs w:val="18"/>
        </w:rPr>
        <w:t xml:space="preserve">Cloudflare business/moat analysis — Koalagains — </w:t>
      </w:r>
      <w:r>
        <w:rPr>
          <w:color w:val="48E5C2"/>
          <w:sz w:val="18"/>
          <w:szCs w:val="18"/>
        </w:rPr>
        <w:t xml:space="preserve">https://koalagains.com/stocks/NYSE/NET/business-and-moat</w:t>
      </w:r>
    </w:p>
    <w:p>
      <w:pPr>
        <w:spacing w:after="60"/>
      </w:pPr>
      <w:r>
        <w:rPr>
          <w:sz w:val="18"/>
          <w:szCs w:val="18"/>
        </w:rPr>
        <w:t xml:space="preserve">Cloudflare vs Akamai: Evaluating Growth and Stability for Investors — Artificall — </w:t>
      </w:r>
      <w:r>
        <w:rPr>
          <w:color w:val="48E5C2"/>
          <w:sz w:val="18"/>
          <w:szCs w:val="18"/>
        </w:rPr>
        <w:t xml:space="preserve">https://artificall.com/analysis/companies/comparisons/akamai-technologies-vs-cloudflare/</w:t>
      </w:r>
    </w:p>
    <w:p>
      <w:pPr>
        <w:spacing w:after="60"/>
      </w:pPr>
      <w:r>
        <w:rPr>
          <w:sz w:val="18"/>
          <w:szCs w:val="18"/>
        </w:rPr>
        <w:t xml:space="preserve">Cloudflare Application Security and Performance — G2 Reviews — </w:t>
      </w:r>
      <w:r>
        <w:rPr>
          <w:color w:val="48E5C2"/>
          <w:sz w:val="18"/>
          <w:szCs w:val="18"/>
        </w:rPr>
        <w:t xml:space="preserve">https://www.g2.com/products/cloudflare-application-security-and-performance/reviews</w:t>
      </w:r>
    </w:p>
    <w:p>
      <w:pPr>
        <w:spacing w:after="60"/>
      </w:pPr>
      <w:r>
        <w:rPr>
          <w:sz w:val="18"/>
          <w:szCs w:val="18"/>
        </w:rPr>
        <w:t xml:space="preserve">Fastly Announces Record First Quarter 2026 Financial Results — BusinessWire — </w:t>
      </w:r>
      <w:r>
        <w:rPr>
          <w:color w:val="48E5C2"/>
          <w:sz w:val="18"/>
          <w:szCs w:val="18"/>
        </w:rPr>
        <w:t xml:space="preserve">https://www.businesswire.com/news/home/20260506739302/en/Fastly-Announces-Record-First-Quarter-2026-Financial-Results</w:t>
      </w:r>
    </w:p>
    <w:p>
      <w:pPr>
        <w:spacing w:after="60"/>
      </w:pPr>
      <w:r>
        <w:rPr>
          <w:sz w:val="18"/>
          <w:szCs w:val="18"/>
        </w:rPr>
        <w:t xml:space="preserve">Fastly Q4 2025 presentation slides — Investing.com — </w:t>
      </w:r>
      <w:r>
        <w:rPr>
          <w:color w:val="48E5C2"/>
          <w:sz w:val="18"/>
          <w:szCs w:val="18"/>
        </w:rPr>
        <w:t xml:space="preserve">https://www.investing.com/news/company-news/fastly-q4-2025-presentation-slides-revenue-growth-accelerates-to-23-achieves-profitability-93CH-4501473</w:t>
      </w:r>
    </w:p>
    <w:p>
      <w:pPr>
        <w:spacing w:after="60"/>
      </w:pPr>
      <w:r>
        <w:rPr>
          <w:sz w:val="18"/>
          <w:szCs w:val="18"/>
        </w:rPr>
        <w:t xml:space="preserve">Fastly (FSLY) Q4 2025 Earnings Call Transcript — The Motley Fool — </w:t>
      </w:r>
      <w:r>
        <w:rPr>
          <w:color w:val="48E5C2"/>
          <w:sz w:val="18"/>
          <w:szCs w:val="18"/>
        </w:rPr>
        <w:t xml:space="preserve">https://www.fool.com/earnings/call-transcripts/2026/02/12/fastly-fsly-q4-2025-earnings-call-transcript/</w:t>
      </w:r>
    </w:p>
    <w:p>
      <w:pPr>
        <w:spacing w:after="60"/>
      </w:pPr>
      <w:r>
        <w:rPr>
          <w:sz w:val="18"/>
          <w:szCs w:val="18"/>
        </w:rPr>
        <w:t xml:space="preserve">Fastly CDN — G2 Reviews — </w:t>
      </w:r>
      <w:r>
        <w:rPr>
          <w:color w:val="48E5C2"/>
          <w:sz w:val="18"/>
          <w:szCs w:val="18"/>
        </w:rPr>
        <w:t xml:space="preserve">https://www.g2.com/products/fastly-fastly-cdn/reviews</w:t>
      </w:r>
    </w:p>
    <w:p>
      <w:pPr>
        <w:spacing w:after="60"/>
      </w:pPr>
      <w:r>
        <w:rPr>
          <w:sz w:val="18"/>
          <w:szCs w:val="18"/>
        </w:rPr>
        <w:t xml:space="preserve">Fastly NPS &amp; Customer Reviews — Comparably — </w:t>
      </w:r>
      <w:r>
        <w:rPr>
          <w:color w:val="48E5C2"/>
          <w:sz w:val="18"/>
          <w:szCs w:val="18"/>
        </w:rPr>
        <w:t xml:space="preserve">https://www.comparably.com/brands/fastly</w:t>
      </w:r>
    </w:p>
    <w:p>
      <w:pPr>
        <w:spacing w:after="60"/>
      </w:pPr>
      <w:r>
        <w:rPr>
          <w:sz w:val="18"/>
          <w:szCs w:val="18"/>
        </w:rPr>
        <w:t xml:space="preserve">Akamai Reports Fourth Quarter 2025 and Full-Year 2025 Financial Results — Akamai IR — </w:t>
      </w:r>
      <w:r>
        <w:rPr>
          <w:color w:val="48E5C2"/>
          <w:sz w:val="18"/>
          <w:szCs w:val="18"/>
        </w:rPr>
        <w:t xml:space="preserve">https://www.ir.akamai.com/news-releases/news-release-details/akamai-reports-fourth-quarter-2025-and-full-year-2025-financial</w:t>
      </w:r>
    </w:p>
    <w:p>
      <w:pPr>
        <w:spacing w:after="60"/>
      </w:pPr>
      <w:r>
        <w:rPr>
          <w:sz w:val="18"/>
          <w:szCs w:val="18"/>
        </w:rPr>
        <w:t xml:space="preserve">Akamai Reports First Quarter 2026 Financial Results — StockTitan — </w:t>
      </w:r>
      <w:r>
        <w:rPr>
          <w:color w:val="48E5C2"/>
          <w:sz w:val="18"/>
          <w:szCs w:val="18"/>
        </w:rPr>
        <w:t xml:space="preserve">https://www.stocktitan.net/news/AKAM/akamai-reports-first-quarter-2026-financial-mjpy0c3zgmps.html</w:t>
      </w:r>
    </w:p>
    <w:p>
      <w:pPr>
        <w:spacing w:after="60"/>
      </w:pPr>
      <w:r>
        <w:rPr>
          <w:sz w:val="18"/>
          <w:szCs w:val="18"/>
        </w:rPr>
        <w:t xml:space="preserve">Akamai Technologies — G2 Reviews — </w:t>
      </w:r>
      <w:r>
        <w:rPr>
          <w:color w:val="48E5C2"/>
          <w:sz w:val="18"/>
          <w:szCs w:val="18"/>
        </w:rPr>
        <w:t xml:space="preserve">https://www.g2.com/sellers/akamai-technologies</w:t>
      </w:r>
    </w:p>
    <w:p>
      <w:pPr>
        <w:spacing w:after="60"/>
      </w:pPr>
      <w:r>
        <w:rPr>
          <w:sz w:val="18"/>
          <w:szCs w:val="18"/>
        </w:rPr>
        <w:t xml:space="preserve">Akamai Connected Cloud: Can it compete with AWS, Google, and Microsoft? — Fierce Network — </w:t>
      </w:r>
      <w:r>
        <w:rPr>
          <w:color w:val="48E5C2"/>
          <w:sz w:val="18"/>
          <w:szCs w:val="18"/>
        </w:rPr>
        <w:t xml:space="preserve">https://www.fierce-network.com/public/akamai-compete-AWS-Google-Microsoft-cloud</w:t>
      </w:r>
    </w:p>
    <w:p>
      <w:pPr>
        <w:spacing w:after="60"/>
      </w:pPr>
      <w:r>
        <w:rPr>
          <w:sz w:val="18"/>
          <w:szCs w:val="18"/>
        </w:rPr>
        <w:t xml:space="preserve">Fastly vs Akamai vs Cloudflare in 2026 — BlazingCDN — </w:t>
      </w:r>
      <w:r>
        <w:rPr>
          <w:color w:val="48E5C2"/>
          <w:sz w:val="18"/>
          <w:szCs w:val="18"/>
        </w:rPr>
        <w:t xml:space="preserve">https://blog.blazingcdn.com/en-us/content-delivery-networks-cdns-compared-fastly-akamai-cloudflare-more</w:t>
      </w:r>
    </w:p>
    <w:p>
      <w:pPr>
        <w:spacing w:after="60"/>
      </w:pPr>
      <w:r>
        <w:rPr>
          <w:sz w:val="18"/>
          <w:szCs w:val="18"/>
        </w:rPr>
        <w:t xml:space="preserve">Cloudflare vs Akamai in 2026: Enterprise Feature and Cost Analysis — BlazingCDN — </w:t>
      </w:r>
      <w:r>
        <w:rPr>
          <w:color w:val="48E5C2"/>
          <w:sz w:val="18"/>
          <w:szCs w:val="18"/>
        </w:rPr>
        <w:t xml:space="preserve">https://blog.blazingcdn.com/en-us/cloudflare-vs-akamai-in-2026-enterprise-feature-and-cost-analysis</w:t>
      </w:r>
    </w:p>
    <w:p>
      <w:pPr>
        <w:spacing w:after="60"/>
      </w:pPr>
      <w:r>
        <w:rPr>
          <w:sz w:val="18"/>
          <w:szCs w:val="18"/>
        </w:rPr>
        <w:t xml:space="preserve">The Complete Guide to CloudFront’s Flat-Rate Pricing — Duckbill Group — </w:t>
      </w:r>
      <w:r>
        <w:rPr>
          <w:color w:val="48E5C2"/>
          <w:sz w:val="18"/>
          <w:szCs w:val="18"/>
        </w:rPr>
        <w:t xml:space="preserve">https://www.duckbillhq.com/blog/the-complete-guide-to-cloudfronts-flat-rate-pricing/</w:t>
      </w:r>
    </w:p>
    <w:p>
      <w:pPr>
        <w:spacing w:after="60"/>
      </w:pPr>
      <w:r>
        <w:rPr>
          <w:sz w:val="18"/>
          <w:szCs w:val="18"/>
        </w:rPr>
        <w:t xml:space="preserve">CloudFront Pricing: How To Manage And Optimize Your CDN Costs — CloudZero — </w:t>
      </w:r>
      <w:r>
        <w:rPr>
          <w:color w:val="48E5C2"/>
          <w:sz w:val="18"/>
          <w:szCs w:val="18"/>
        </w:rPr>
        <w:t xml:space="preserve">https://www.cloudzero.com/blog/cloudfront-pricing/</w:t>
      </w:r>
    </w:p>
    <w:p>
      <w:pPr>
        <w:spacing w:after="60"/>
      </w:pPr>
      <w:r>
        <w:rPr>
          <w:sz w:val="18"/>
          <w:szCs w:val="18"/>
        </w:rPr>
        <w:t xml:space="preserve">Cloudflare Workers vs Fastly Compute@Edge — hoop.dev — </w:t>
      </w:r>
      <w:r>
        <w:rPr>
          <w:color w:val="48E5C2"/>
          <w:sz w:val="18"/>
          <w:szCs w:val="18"/>
        </w:rPr>
        <w:t xml:space="preserve">https://hoop.dev/blog/cloudflare-workers-fastly-compute-edge-vs-similar-tools-which-fits-your-stack-best</w:t>
      </w:r>
    </w:p>
    <w:p>
      <w:pPr>
        <w:spacing w:after="60"/>
      </w:pPr>
      <w:r>
        <w:rPr>
          <w:sz w:val="18"/>
          <w:szCs w:val="18"/>
        </w:rPr>
        <w:t xml:space="preserve">Cloudflare Workers vs AWS Lambda — Algoroq — </w:t>
      </w:r>
      <w:r>
        <w:rPr>
          <w:color w:val="48E5C2"/>
          <w:sz w:val="18"/>
          <w:szCs w:val="18"/>
        </w:rPr>
        <w:t xml:space="preserve">https://www.algoroq.io/compare-tech/cloudflare-workers-vs-lambda/</w:t>
      </w:r>
    </w:p>
    <w:p>
      <w:pPr>
        <w:spacing w:after="60"/>
      </w:pPr>
      <w:r>
        <w:rPr>
          <w:sz w:val="18"/>
          <w:szCs w:val="18"/>
        </w:rPr>
        <w:t xml:space="preserve">Cloudflare vs Fastly: A Detailed Comparison for System Design — Algoroq — </w:t>
      </w:r>
      <w:r>
        <w:rPr>
          <w:color w:val="48E5C2"/>
          <w:sz w:val="18"/>
          <w:szCs w:val="18"/>
        </w:rPr>
        <w:t xml:space="preserve">https://www.algoroq.io/compare-tech/cloudflare-vs-fastly/</w:t>
      </w:r>
    </w:p>
    <w:p>
      <w:pPr>
        <w:spacing w:after="60"/>
      </w:pPr>
      <w:r>
        <w:rPr>
          <w:sz w:val="18"/>
          <w:szCs w:val="18"/>
        </w:rPr>
        <w:t xml:space="preserve">What Is Vendor Lock-In? — Cloudflare Learning Center — </w:t>
      </w:r>
      <w:r>
        <w:rPr>
          <w:color w:val="48E5C2"/>
          <w:sz w:val="18"/>
          <w:szCs w:val="18"/>
        </w:rPr>
        <w:t xml:space="preserve">https://www.cloudflare.com/learning/cloud/what-is-vendor-lock-in/</w:t>
      </w:r>
    </w:p>
    <w:p>
      <w:pPr>
        <w:spacing w:after="60"/>
      </w:pPr>
      <w:r>
        <w:rPr>
          <w:sz w:val="18"/>
          <w:szCs w:val="18"/>
        </w:rPr>
        <w:t xml:space="preserve">Enterprise AI Vendor Lock-In: The Switching Cost Problem No One Is Measuring — VaaSBlock — </w:t>
      </w:r>
      <w:r>
        <w:rPr>
          <w:color w:val="48E5C2"/>
          <w:sz w:val="18"/>
          <w:szCs w:val="18"/>
        </w:rPr>
        <w:t xml:space="preserve">https://www.vaasblock.com/research/enterprise-ai-vendor-lock-in-switching-costs-copilot-agentforce-2026/</w:t>
      </w:r>
    </w:p>
    <w:p>
      <w:pPr>
        <w:spacing w:after="60"/>
      </w:pPr>
      <w:r>
        <w:rPr>
          <w:sz w:val="18"/>
          <w:szCs w:val="18"/>
        </w:rPr>
        <w:t xml:space="preserve">Edge Computing Market Size &amp; Share Report — Grand View Research — </w:t>
      </w:r>
      <w:r>
        <w:rPr>
          <w:color w:val="48E5C2"/>
          <w:sz w:val="18"/>
          <w:szCs w:val="18"/>
        </w:rPr>
        <w:t xml:space="preserve">https://www.grandviewresearch.com/industry-analysis/edge-computing-market</w:t>
      </w:r>
    </w:p>
    <w:p>
      <w:pPr>
        <w:spacing w:after="60"/>
      </w:pPr>
      <w:r>
        <w:rPr>
          <w:sz w:val="18"/>
          <w:szCs w:val="18"/>
        </w:rPr>
        <w:t xml:space="preserve">Edge Computing Market — MarketsAndMarkets — </w:t>
      </w:r>
      <w:r>
        <w:rPr>
          <w:color w:val="48E5C2"/>
          <w:sz w:val="18"/>
          <w:szCs w:val="18"/>
        </w:rPr>
        <w:t xml:space="preserve">https://www.marketsandmarkets.com/Market-Reports/edge-computing-market-133384090.html</w:t>
      </w:r>
    </w:p>
    <w:p>
      <w:pPr>
        <w:spacing w:after="60"/>
      </w:pPr>
      <w:r>
        <w:rPr>
          <w:sz w:val="18"/>
          <w:szCs w:val="18"/>
        </w:rPr>
        <w:t xml:space="preserve">How high-tech suppliers are responding to the hyperscaler opportunity — McKinsey — </w:t>
      </w:r>
      <w:r>
        <w:rPr>
          <w:color w:val="48E5C2"/>
          <w:sz w:val="18"/>
          <w:szCs w:val="18"/>
        </w:rPr>
        <w:t xml:space="preserve">https://www.mckinsey.com/industries/technology-media-and-telecommunications/our-insights/how-high-tech-suppliers-are-responding-to-the-hyperscaler-opportunity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rFonts w:ascii="Calibri" w:cs="Calibri" w:eastAsia="Calibri" w:hAnsi="Calibri"/>
      <w:b/>
      <w:bCs/>
      <w:color w:val="333333"/>
      <w:sz w:val="32"/>
      <w:szCs w:val="32"/>
    </w:rPr>
  </w:style>
  <w:style w:type="paragraph" w:styleId="Heading2">
    <w:name w:val="Heading 2"/>
    <w:basedOn w:val="Normal"/>
    <w:next w:val="Normal"/>
    <w:qFormat/>
    <w:pPr>
      <w:spacing w:after="120" w:before="280"/>
    </w:pPr>
    <w:rPr>
      <w:rFonts w:ascii="Calibri" w:cs="Calibri" w:eastAsia="Calibri" w:hAnsi="Calibri"/>
      <w:b/>
      <w:bCs/>
      <w:color w:val="333333"/>
      <w:sz w:val="26"/>
      <w:szCs w:val="26"/>
    </w:rPr>
  </w:style>
  <w:style w:type="paragraph" w:styleId="Heading3">
    <w:name w:val="Heading 3"/>
    <w:basedOn w:val="Normal"/>
    <w:next w:val="Normal"/>
    <w:qFormat/>
    <w:pPr>
      <w:spacing w:after="100" w:before="200"/>
    </w:pPr>
    <w:rPr>
      <w:rFonts w:ascii="Calibri" w:cs="Calibri" w:eastAsia="Calibri" w:hAnsi="Calibri"/>
      <w:b/>
      <w:bCs/>
      <w:color w:val="5E5E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2026-07-22T07:17:59.351Z</dcterms:created>
  <dcterms:modified xsi:type="dcterms:W3CDTF">2026-07-22T07:17:59.351Z</dcterms:modified>
</cp:coreProperties>
</file>

<file path=docProps/custom.xml><?xml version="1.0" encoding="utf-8"?>
<Properties xmlns="http://schemas.openxmlformats.org/officeDocument/2006/custom-properties" xmlns:vt="http://schemas.openxmlformats.org/officeDocument/2006/docPropsVTypes"/>
</file>