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20"/>
      </w:pPr>
      <w:r>
        <w:rPr>
          <w:rFonts w:ascii="黑体" w:hAnsi="黑体" w:eastAsia="黑体"/>
          <w:b/>
          <w:color w:val="000000"/>
          <w:sz w:val="48"/>
        </w:rPr>
        <w:t>智能科研助理系统评测报告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本报告说明论文知识库检索、生成和工具调度的测试范围、统计口径及实际记录，供课程评审与复现使用。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报告生成日期：2026-10-11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本报告收录 23 份真实测量记录和 0 份演示模式记录。每份记录的题数与用途单独标注；小样本功能验收不代表全量课程成绩。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人工质量评分按用户选择待填写；题集证据待学生确认；Docker容器未在本机实跑。所有模型/解析数据均来自实际执行，旧359实验快照与新生产索引分开。</w:t>
      </w:r>
    </w:p>
    <w:p>
      <w:pPr>
        <w:pStyle w:val="Heading1"/>
        <w:keepNext/>
        <w:spacing w:before="280" w:after="160"/>
      </w:pPr>
      <w:r>
        <w:rPr>
          <w:rFonts w:ascii="黑体" w:hAnsi="黑体" w:eastAsia="黑体"/>
          <w:b/>
          <w:color w:val="000000"/>
          <w:sz w:val="32"/>
        </w:rPr>
        <w:t>评测集与范围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课程要求一个具体研究方向的10至20篇论文、50题以上问答和四类题型。题目须reviewed=true并填写参考答案与原文来源。数量统计不能证明论文真实性或人工评分完整。</w:t>
      </w:r>
    </w:p>
    <w:p>
      <w:pPr>
        <w:pStyle w:val="Heading1"/>
        <w:keepNext/>
        <w:spacing w:before="280" w:after="160"/>
      </w:pPr>
      <w:r>
        <w:rPr>
          <w:rFonts w:ascii="黑体" w:hAnsi="黑体" w:eastAsia="黑体"/>
          <w:b/>
          <w:color w:val="000000"/>
          <w:sz w:val="32"/>
        </w:rPr>
        <w:t>统计口径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Hit@5表示前五条命中任一标注证据。MRR取完整返回排名中第一条相关结果名次倒数。Recall@5按覆盖的标注证据数计算，同一证据的多个分块不重复计数。异常题计零分并保留错误。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生成质量由人工分别评正确性、完整性、引用质量和流畅性。来源覆盖不等于答案正确性，工具成功不等于任务正确完成。Token缺失保持未测量，估算值按估算呈现。</w:t>
      </w:r>
    </w:p>
    <w:p>
      <w:pPr>
        <w:pStyle w:val="Heading1"/>
        <w:keepNext/>
        <w:spacing w:before="280" w:after="160"/>
      </w:pPr>
      <w:r>
        <w:rPr>
          <w:rFonts w:ascii="黑体" w:hAnsi="黑体" w:eastAsia="黑体"/>
          <w:b/>
          <w:color w:val="000000"/>
          <w:sz w:val="32"/>
        </w:rPr>
        <w:t>实际实验指标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rieval-resul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000000"/>
          <w:sz w:val="20"/>
        </w:rPr>
        <w:t>同一题集与语料的检索模式对比 实际题数见图中标注</w:t>
      </w:r>
    </w:p>
    <w:p>
      <w:pPr>
        <w:pStyle w:val="Heading2"/>
        <w:keepNext/>
        <w:spacing w:before="280" w:after="160"/>
      </w:pPr>
      <w:r>
        <w:rPr>
          <w:rFonts w:ascii="黑体" w:hAnsi="黑体" w:eastAsia="黑体"/>
          <w:b/>
          <w:color w:val="000000"/>
          <w:sz w:val="26"/>
        </w:rPr>
        <w:t>PDF解析测量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134"/>
        <w:gridCol w:w="2268"/>
        <w:gridCol w:w="1984"/>
        <w:gridCol w:w="1984"/>
      </w:tblGrid>
      <w:tr>
        <w:trPr>
          <w:tblHeader/>
          <w:cantSplit/>
        </w:trPr>
        <w:tc>
          <w:tcPr>
            <w:tcW w:type="dxa" w:w="1701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解析器</w:t>
            </w:r>
          </w:p>
        </w:tc>
        <w:tc>
          <w:tcPr>
            <w:tcW w:type="dxa" w:w="1134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论文数</w:t>
            </w:r>
          </w:p>
        </w:tc>
        <w:tc>
          <w:tcPr>
            <w:tcW w:type="dxa" w:w="2268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解析用时ms</w:t>
            </w:r>
          </w:p>
        </w:tc>
        <w:tc>
          <w:tcPr>
            <w:tcW w:type="dxa" w:w="1984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锚点保留率</w:t>
            </w:r>
          </w:p>
        </w:tc>
        <w:tc>
          <w:tcPr>
            <w:tcW w:type="dxa" w:w="1984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匹配锚点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pymupdf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38564.8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1.0000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119/119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pdfplumber</w:t>
            </w:r>
          </w:p>
        </w:tc>
        <w:tc>
          <w:tcPr>
            <w:tcW w:type="dxa" w:w="1134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2268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29250.6</w:t>
            </w:r>
          </w:p>
        </w:tc>
        <w:tc>
          <w:tcPr>
            <w:tcW w:type="dxa" w:w="1984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1.0000</w:t>
            </w:r>
          </w:p>
        </w:tc>
        <w:tc>
          <w:tcPr>
            <w:tcW w:type="dxa" w:w="1984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119/119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pypdf2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9124.1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0.9580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114/119</w:t>
            </w:r>
          </w:p>
        </w:tc>
      </w:tr>
    </w:tbl>
    <w:p>
      <w:pPr>
        <w:spacing w:after="80"/>
      </w:pP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锚点保留率仅检查标注原文摘录是否仍可定位，不能证明双栏顺序、表格结构或公式语义全部正确。解析实验没有调用语言模型。</w:t>
      </w:r>
    </w:p>
    <w:p>
      <w:pPr>
        <w:pStyle w:val="Heading2"/>
        <w:keepNext/>
        <w:spacing w:before="280" w:after="160"/>
      </w:pPr>
      <w:r>
        <w:rPr>
          <w:rFonts w:ascii="黑体" w:hAnsi="黑体" w:eastAsia="黑体"/>
          <w:b/>
          <w:color w:val="000000"/>
          <w:sz w:val="26"/>
        </w:rPr>
        <w:t>向量数据库实测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50"/>
        <w:gridCol w:w="850"/>
        <w:gridCol w:w="1417"/>
        <w:gridCol w:w="2268"/>
        <w:gridCol w:w="2268"/>
      </w:tblGrid>
      <w:tr>
        <w:trPr>
          <w:tblHeader/>
          <w:cantSplit/>
        </w:trPr>
        <w:tc>
          <w:tcPr>
            <w:tcW w:type="dxa" w:w="1417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后端</w:t>
            </w:r>
          </w:p>
        </w:tc>
        <w:tc>
          <w:tcPr>
            <w:tcW w:type="dxa" w:w="850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题数</w:t>
            </w:r>
          </w:p>
        </w:tc>
        <w:tc>
          <w:tcPr>
            <w:tcW w:type="dxa" w:w="850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块数</w:t>
            </w:r>
          </w:p>
        </w:tc>
        <w:tc>
          <w:tcPr>
            <w:tcW w:type="dxa" w:w="1417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Hit@5</w:t>
            </w:r>
          </w:p>
        </w:tc>
        <w:tc>
          <w:tcPr>
            <w:tcW w:type="dxa" w:w="2268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平均查询ms</w:t>
            </w:r>
          </w:p>
        </w:tc>
        <w:tc>
          <w:tcPr>
            <w:tcW w:type="dxa" w:w="2268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重启与增删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chroma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359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0.3500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2.291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已实测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faiss</w:t>
            </w:r>
          </w:p>
        </w:tc>
        <w:tc>
          <w:tcPr>
            <w:tcW w:type="dxa" w:w="850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850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359</w:t>
            </w:r>
          </w:p>
        </w:tc>
        <w:tc>
          <w:tcPr>
            <w:tcW w:type="dxa" w:w="1417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0.3500</w:t>
            </w:r>
          </w:p>
        </w:tc>
        <w:tc>
          <w:tcPr>
            <w:tcW w:type="dxa" w:w="2268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6.246</w:t>
            </w:r>
          </w:p>
        </w:tc>
        <w:tc>
          <w:tcPr>
            <w:tcW w:type="dxa" w:w="2268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已实测</w:t>
            </w:r>
          </w:p>
        </w:tc>
      </w:tr>
    </w:tbl>
    <w:p>
      <w:pPr>
        <w:spacing w:after="80"/>
      </w:pP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两后端使用相同359块和同一组真实M3向量，仅查询及持久化操作参与计时，不重复模型编码。此规模下的时间不推断大型数据库吞吐。</w:t>
      </w:r>
    </w:p>
    <w:p>
      <w:pPr>
        <w:pStyle w:val="Heading2"/>
        <w:keepNext/>
        <w:spacing w:before="280" w:after="160"/>
      </w:pPr>
      <w:r>
        <w:rPr>
          <w:rFonts w:ascii="黑体" w:hAnsi="黑体" w:eastAsia="黑体"/>
          <w:b/>
          <w:color w:val="000000"/>
          <w:sz w:val="26"/>
        </w:rPr>
        <w:t>真实Embedding编码测量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417"/>
        <w:gridCol w:w="1701"/>
        <w:gridCol w:w="1134"/>
        <w:gridCol w:w="1701"/>
      </w:tblGrid>
      <w:tr>
        <w:trPr>
          <w:tblHeader/>
          <w:cantSplit/>
        </w:trPr>
        <w:tc>
          <w:tcPr>
            <w:tcW w:type="dxa" w:w="3118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模型</w:t>
            </w:r>
          </w:p>
        </w:tc>
        <w:tc>
          <w:tcPr>
            <w:tcW w:type="dxa" w:w="1417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文档文本数</w:t>
            </w:r>
          </w:p>
        </w:tc>
        <w:tc>
          <w:tcPr>
            <w:tcW w:type="dxa" w:w="1701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文档编码秒</w:t>
            </w:r>
          </w:p>
        </w:tc>
        <w:tc>
          <w:tcPr>
            <w:tcW w:type="dxa" w:w="1134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查询条数</w:t>
            </w:r>
          </w:p>
        </w:tc>
        <w:tc>
          <w:tcPr>
            <w:tcW w:type="dxa" w:w="1701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查询编码秒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moka-ai/m3e-base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1836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1056.06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0.879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BAAI/bge-large-zh-v1.5</w:t>
            </w:r>
          </w:p>
        </w:tc>
        <w:tc>
          <w:tcPr>
            <w:tcW w:type="dxa" w:w="1417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342</w:t>
            </w:r>
          </w:p>
        </w:tc>
        <w:tc>
          <w:tcPr>
            <w:tcW w:type="dxa" w:w="1701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677.88</w:t>
            </w:r>
          </w:p>
        </w:tc>
        <w:tc>
          <w:tcPr>
            <w:tcW w:type="dxa" w:w="1134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1701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4.249</w:t>
            </w:r>
          </w:p>
        </w:tc>
      </w:tr>
    </w:tbl>
    <w:p>
      <w:pPr>
        <w:spacing w:after="80"/>
      </w:pP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编码确实由模型执行，分块变体复用唯一文本的向量。不同模型若文档文本数或窗口总量不同，不公平比较文档批量TPS；只有相同20条查询编码可直接比较该组速度。原生token-ID完整分窗保留尾部，短文本数值一致性检查不能代替语义质量评测。</w:t>
      </w:r>
    </w:p>
    <w:p>
      <w:pPr>
        <w:pStyle w:val="Heading2"/>
        <w:keepNext/>
        <w:spacing w:before="280" w:after="160"/>
      </w:pPr>
      <w:r>
        <w:rPr>
          <w:rFonts w:ascii="黑体" w:hAnsi="黑体" w:eastAsia="黑体"/>
          <w:b/>
          <w:color w:val="000000"/>
          <w:sz w:val="26"/>
        </w:rPr>
        <w:t>开发集融合与截断消融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1531"/>
        <w:gridCol w:w="964"/>
        <w:gridCol w:w="1701"/>
        <w:gridCol w:w="1701"/>
        <w:gridCol w:w="1928"/>
      </w:tblGrid>
      <w:tr>
        <w:trPr>
          <w:tblHeader/>
          <w:cantSplit/>
        </w:trPr>
        <w:tc>
          <w:tcPr>
            <w:tcW w:type="dxa" w:w="1247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RRF k</w:t>
            </w:r>
          </w:p>
        </w:tc>
        <w:tc>
          <w:tcPr>
            <w:tcW w:type="dxa" w:w="1531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指标Top K</w:t>
            </w:r>
          </w:p>
        </w:tc>
        <w:tc>
          <w:tcPr>
            <w:tcW w:type="dxa" w:w="964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题数</w:t>
            </w:r>
          </w:p>
        </w:tc>
        <w:tc>
          <w:tcPr>
            <w:tcW w:type="dxa" w:w="1701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Hit</w:t>
            </w:r>
          </w:p>
        </w:tc>
        <w:tc>
          <w:tcPr>
            <w:tcW w:type="dxa" w:w="1701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Recall</w:t>
            </w:r>
          </w:p>
        </w:tc>
        <w:tc>
          <w:tcPr>
            <w:tcW w:type="dxa" w:w="1928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MRR@20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153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9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0.4000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0.3500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0.3247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1531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964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1701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0.4000</w:t>
            </w:r>
          </w:p>
        </w:tc>
        <w:tc>
          <w:tcPr>
            <w:tcW w:type="dxa" w:w="1701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0.3500</w:t>
            </w:r>
          </w:p>
        </w:tc>
        <w:tc>
          <w:tcPr>
            <w:tcW w:type="dxa" w:w="1928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0.3247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153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9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0.6500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0.5750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0.3247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60</w:t>
            </w:r>
          </w:p>
        </w:tc>
        <w:tc>
          <w:tcPr>
            <w:tcW w:type="dxa" w:w="1531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964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1701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0.4000</w:t>
            </w:r>
          </w:p>
        </w:tc>
        <w:tc>
          <w:tcPr>
            <w:tcW w:type="dxa" w:w="1701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0.3500</w:t>
            </w:r>
          </w:p>
        </w:tc>
        <w:tc>
          <w:tcPr>
            <w:tcW w:type="dxa" w:w="1928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0.3148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60</w:t>
            </w:r>
          </w:p>
        </w:tc>
        <w:tc>
          <w:tcPr>
            <w:tcW w:type="dxa" w:w="153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9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0.4000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0.3500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0.3148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60</w:t>
            </w:r>
          </w:p>
        </w:tc>
        <w:tc>
          <w:tcPr>
            <w:tcW w:type="dxa" w:w="1531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964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1701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0.6500</w:t>
            </w:r>
          </w:p>
        </w:tc>
        <w:tc>
          <w:tcPr>
            <w:tcW w:type="dxa" w:w="1701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0.5750</w:t>
            </w:r>
          </w:p>
        </w:tc>
        <w:tc>
          <w:tcPr>
            <w:tcW w:type="dxa" w:w="1928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0.3148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100</w:t>
            </w:r>
          </w:p>
        </w:tc>
        <w:tc>
          <w:tcPr>
            <w:tcW w:type="dxa" w:w="153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9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0.4000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0.3500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0.3148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100</w:t>
            </w:r>
          </w:p>
        </w:tc>
        <w:tc>
          <w:tcPr>
            <w:tcW w:type="dxa" w:w="1531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964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1701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0.4000</w:t>
            </w:r>
          </w:p>
        </w:tc>
        <w:tc>
          <w:tcPr>
            <w:tcW w:type="dxa" w:w="1701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0.3500</w:t>
            </w:r>
          </w:p>
        </w:tc>
        <w:tc>
          <w:tcPr>
            <w:tcW w:type="dxa" w:w="1928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0.3148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100</w:t>
            </w:r>
          </w:p>
        </w:tc>
        <w:tc>
          <w:tcPr>
            <w:tcW w:type="dxa" w:w="153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9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0.6500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0.5750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0.3148</w:t>
            </w:r>
          </w:p>
        </w:tc>
      </w:tr>
    </w:tbl>
    <w:p>
      <w:pPr>
        <w:spacing w:after="80"/>
      </w:pP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该组复用开发集真实向量与BM25排名，仅改变确定性融合及指标截断，没有新增模型调用。测试集继续使用候选20、RRF60的固定配置。</w:t>
      </w:r>
    </w:p>
    <w:p>
      <w:pPr>
        <w:pStyle w:val="Heading2"/>
        <w:keepNext/>
        <w:spacing w:before="280" w:after="160"/>
      </w:pPr>
      <w:r>
        <w:rPr>
          <w:rFonts w:ascii="黑体" w:hAnsi="黑体" w:eastAsia="黑体"/>
          <w:b/>
          <w:color w:val="000000"/>
          <w:sz w:val="26"/>
        </w:rPr>
        <w:t>检索与分块测量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65"/>
        <w:gridCol w:w="850"/>
        <w:gridCol w:w="1191"/>
        <w:gridCol w:w="1134"/>
        <w:gridCol w:w="1417"/>
        <w:gridCol w:w="1814"/>
      </w:tblGrid>
      <w:tr>
        <w:trPr>
          <w:tblHeader/>
          <w:cantSplit/>
        </w:trPr>
        <w:tc>
          <w:tcPr>
            <w:tcW w:type="dxa" w:w="2665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实验</w:t>
            </w:r>
          </w:p>
        </w:tc>
        <w:tc>
          <w:tcPr>
            <w:tcW w:type="dxa" w:w="850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题数</w:t>
            </w:r>
          </w:p>
        </w:tc>
        <w:tc>
          <w:tcPr>
            <w:tcW w:type="dxa" w:w="1191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Hit@5</w:t>
            </w:r>
          </w:p>
        </w:tc>
        <w:tc>
          <w:tcPr>
            <w:tcW w:type="dxa" w:w="1134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MRR</w:t>
            </w:r>
          </w:p>
        </w:tc>
        <w:tc>
          <w:tcPr>
            <w:tcW w:type="dxa" w:w="1417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Recall@5</w:t>
            </w:r>
          </w:p>
        </w:tc>
        <w:tc>
          <w:tcPr>
            <w:tcW w:type="dxa" w:w="1814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检索阶段ms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M3测试集纯向量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60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0.4167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0.2992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0.3250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3.2002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M3测试集混合检索</w:t>
            </w:r>
          </w:p>
        </w:tc>
        <w:tc>
          <w:tcPr>
            <w:tcW w:type="dxa" w:w="850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60</w:t>
            </w:r>
          </w:p>
        </w:tc>
        <w:tc>
          <w:tcPr>
            <w:tcW w:type="dxa" w:w="1191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0.4333</w:t>
            </w:r>
          </w:p>
        </w:tc>
        <w:tc>
          <w:tcPr>
            <w:tcW w:type="dxa" w:w="1134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0.3538</w:t>
            </w:r>
          </w:p>
        </w:tc>
        <w:tc>
          <w:tcPr>
            <w:tcW w:type="dxa" w:w="1417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0.3583</w:t>
            </w:r>
          </w:p>
        </w:tc>
        <w:tc>
          <w:tcPr>
            <w:tcW w:type="dxa" w:w="1814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8.2737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M3开发集纯向量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0.3500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0.3236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0.2750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3.5792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M3开发集混合检索</w:t>
            </w:r>
          </w:p>
        </w:tc>
        <w:tc>
          <w:tcPr>
            <w:tcW w:type="dxa" w:w="850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1191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0.4000</w:t>
            </w:r>
          </w:p>
        </w:tc>
        <w:tc>
          <w:tcPr>
            <w:tcW w:type="dxa" w:w="1134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0.3148</w:t>
            </w:r>
          </w:p>
        </w:tc>
        <w:tc>
          <w:tcPr>
            <w:tcW w:type="dxa" w:w="1417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0.3500</w:t>
            </w:r>
          </w:p>
        </w:tc>
        <w:tc>
          <w:tcPr>
            <w:tcW w:type="dxa" w:w="1814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27.8340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M3e分块 固定256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0.3500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0.2921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0.3250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37.0410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M3e分块 固定512</w:t>
            </w:r>
          </w:p>
        </w:tc>
        <w:tc>
          <w:tcPr>
            <w:tcW w:type="dxa" w:w="850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1191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0.4000</w:t>
            </w:r>
          </w:p>
        </w:tc>
        <w:tc>
          <w:tcPr>
            <w:tcW w:type="dxa" w:w="1134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0.2699</w:t>
            </w:r>
          </w:p>
        </w:tc>
        <w:tc>
          <w:tcPr>
            <w:tcW w:type="dxa" w:w="1417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0.3750</w:t>
            </w:r>
          </w:p>
        </w:tc>
        <w:tc>
          <w:tcPr>
            <w:tcW w:type="dxa" w:w="1814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9.8535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M3e分块 固定1024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0.5000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0.3604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0.4000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10.6735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M3e分块 递归512</w:t>
            </w:r>
          </w:p>
        </w:tc>
        <w:tc>
          <w:tcPr>
            <w:tcW w:type="dxa" w:w="850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1191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0.4000</w:t>
            </w:r>
          </w:p>
        </w:tc>
        <w:tc>
          <w:tcPr>
            <w:tcW w:type="dxa" w:w="1134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0.2785</w:t>
            </w:r>
          </w:p>
        </w:tc>
        <w:tc>
          <w:tcPr>
            <w:tcW w:type="dxa" w:w="1417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0.3500</w:t>
            </w:r>
          </w:p>
        </w:tc>
        <w:tc>
          <w:tcPr>
            <w:tcW w:type="dxa" w:w="1814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12.1233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M3e分块 句段边界512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0.4500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0.3078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0.4000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10.1837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BGE-large与M3e同递归342块对比</w:t>
            </w:r>
          </w:p>
        </w:tc>
        <w:tc>
          <w:tcPr>
            <w:tcW w:type="dxa" w:w="850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1191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0.3500</w:t>
            </w:r>
          </w:p>
        </w:tc>
        <w:tc>
          <w:tcPr>
            <w:tcW w:type="dxa" w:w="1134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0.2960</w:t>
            </w:r>
          </w:p>
        </w:tc>
        <w:tc>
          <w:tcPr>
            <w:tcW w:type="dxa" w:w="1417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0.3000</w:t>
            </w:r>
          </w:p>
        </w:tc>
        <w:tc>
          <w:tcPr>
            <w:tcW w:type="dxa" w:w="1814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63.8507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M3测试集混合加重排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60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0.6167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0.4313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0.4750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16708.4080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 w:after="160"/>
      </w:pPr>
      <w:r>
        <w:rPr>
          <w:rFonts w:ascii="黑体" w:hAnsi="黑体" w:eastAsia="黑体"/>
          <w:b/>
          <w:color w:val="000000"/>
          <w:sz w:val="26"/>
        </w:rPr>
        <w:t>回答与Agent测量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850"/>
        <w:gridCol w:w="1701"/>
        <w:gridCol w:w="1701"/>
        <w:gridCol w:w="2268"/>
      </w:tblGrid>
      <w:tr>
        <w:trPr>
          <w:tblHeader/>
          <w:cantSplit/>
        </w:trPr>
        <w:tc>
          <w:tcPr>
            <w:tcW w:type="dxa" w:w="2551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实验</w:t>
            </w:r>
          </w:p>
        </w:tc>
        <w:tc>
          <w:tcPr>
            <w:tcW w:type="dxa" w:w="850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题数</w:t>
            </w:r>
          </w:p>
        </w:tc>
        <w:tc>
          <w:tcPr>
            <w:tcW w:type="dxa" w:w="1701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协议完成率</w:t>
            </w:r>
          </w:p>
        </w:tc>
        <w:tc>
          <w:tcPr>
            <w:tcW w:type="dxa" w:w="1701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工具成功率</w:t>
            </w:r>
          </w:p>
        </w:tc>
        <w:tc>
          <w:tcPr>
            <w:tcW w:type="dxa" w:w="2268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用时ms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60题短答案生成基线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60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1.0000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未测量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3055.9623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五组生成参数单因素对比</w:t>
            </w:r>
          </w:p>
        </w:tc>
        <w:tc>
          <w:tcPr>
            <w:tcW w:type="dxa" w:w="850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701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1.0000</w:t>
            </w:r>
          </w:p>
        </w:tc>
        <w:tc>
          <w:tcPr>
            <w:tcW w:type="dxa" w:w="1701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未测量</w:t>
            </w:r>
          </w:p>
        </w:tc>
        <w:tc>
          <w:tcPr>
            <w:tcW w:type="dxa" w:w="2268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2152.7483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旧与新Prompt规则对比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1.0000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未测量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3403.2024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Agent与固定RAG路由样例</w:t>
            </w:r>
          </w:p>
        </w:tc>
        <w:tc>
          <w:tcPr>
            <w:tcW w:type="dxa" w:w="850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701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1.0000</w:t>
            </w:r>
          </w:p>
        </w:tc>
        <w:tc>
          <w:tcPr>
            <w:tcW w:type="dxa" w:w="1701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未测量</w:t>
            </w:r>
          </w:p>
        </w:tc>
        <w:tc>
          <w:tcPr>
            <w:tcW w:type="dxa" w:w="2268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1867.3457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真实查询缓存冷暖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1.0000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未测量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1479.7948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 w:after="160"/>
      </w:pPr>
      <w:r>
        <w:rPr>
          <w:rFonts w:ascii="黑体" w:hAnsi="黑体" w:eastAsia="黑体"/>
          <w:b/>
          <w:color w:val="000000"/>
          <w:sz w:val="26"/>
        </w:rPr>
        <w:t>真实线上功能样本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2268"/>
        <w:gridCol w:w="2268"/>
        <w:gridCol w:w="2268"/>
        <w:gridCol w:w="1134"/>
      </w:tblGrid>
      <w:tr>
        <w:trPr>
          <w:tblHeader/>
          <w:cantSplit/>
        </w:trPr>
        <w:tc>
          <w:tcPr>
            <w:tcW w:type="dxa" w:w="1134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样本数</w:t>
            </w:r>
          </w:p>
        </w:tc>
        <w:tc>
          <w:tcPr>
            <w:tcW w:type="dxa" w:w="2268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平均端到端秒</w:t>
            </w:r>
          </w:p>
        </w:tc>
        <w:tc>
          <w:tcPr>
            <w:tcW w:type="dxa" w:w="2268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输入Token总计</w:t>
            </w:r>
          </w:p>
        </w:tc>
        <w:tc>
          <w:tcPr>
            <w:tcW w:type="dxa" w:w="2268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输出Token总计</w:t>
            </w:r>
          </w:p>
        </w:tc>
        <w:tc>
          <w:tcPr>
            <w:tcW w:type="dxa" w:w="1134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平均步骤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52.09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43908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4634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1.2</w:t>
            </w:r>
          </w:p>
        </w:tc>
      </w:tr>
    </w:tbl>
    <w:p>
      <w:pPr>
        <w:spacing w:after="80"/>
      </w:pP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这是10次真实线上诊断样本，问题、Prompt与配置有变化，也包含降级结果。它们记录实际在线耗时和Token，不能当作统一任务的性能基准或因果优化结论。生成参数实验的gen-only时间另列，不能冒充在线端到端延迟。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表中完成率反映请求执行状态，工具成功率反映调用执行状态；两者均不能代替答案语义正确率。开发集与测试集结论分别解读，全部指标见原始结果。</w:t>
      </w:r>
    </w:p>
    <w:p>
      <w:pPr>
        <w:pStyle w:val="Heading1"/>
        <w:keepNext/>
        <w:spacing w:before="280" w:after="160"/>
      </w:pPr>
      <w:r>
        <w:rPr>
          <w:rFonts w:ascii="黑体" w:hAnsi="黑体" w:eastAsia="黑体"/>
          <w:b/>
          <w:color w:val="000000"/>
          <w:sz w:val="32"/>
        </w:rPr>
        <w:t>运行与自动验证证据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4535"/>
      </w:tblGrid>
      <w:tr>
        <w:trPr>
          <w:tblHeader/>
          <w:cantSplit/>
        </w:trPr>
        <w:tc>
          <w:tcPr>
            <w:tcW w:type="dxa" w:w="2268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验证</w:t>
            </w:r>
          </w:p>
        </w:tc>
        <w:tc>
          <w:tcPr>
            <w:tcW w:type="dxa" w:w="2268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实际结果</w:t>
            </w:r>
          </w:p>
        </w:tc>
        <w:tc>
          <w:tcPr>
            <w:tcW w:type="dxa" w:w="4535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证据文件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全套代码基线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161项通过 0失败 0错误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reports/testing/full-suite-20261010.xml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界面与修改路径回归</w:t>
            </w:r>
          </w:p>
        </w:tc>
        <w:tc>
          <w:tcPr>
            <w:tcW w:type="dxa" w:w="2268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100项通过 与基线有覆盖重叠</w:t>
            </w:r>
          </w:p>
        </w:tc>
        <w:tc>
          <w:tcPr>
            <w:tcW w:type="dxa" w:w="4535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reports/testing/ui-final-critical-20261010.json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Agent与生成修改回归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84项通过 与修改路径回归重叠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reports/testing/agent-generation-final-20261010.json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页面与HTTP工作流</w:t>
            </w:r>
          </w:p>
        </w:tc>
        <w:tc>
          <w:tcPr>
            <w:tcW w:type="dxa" w:w="2268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真实HTTP后端AppTest通过 功能演示模式</w:t>
            </w:r>
          </w:p>
        </w:tc>
        <w:tc>
          <w:tcPr>
            <w:tcW w:type="dxa" w:w="4535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reports/ui/workflow-tests-20261010.json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标准模式浏览器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真实7B回答 原页 比较与下载已运行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reports/ui/browser-standard-20261010.json</w:t>
            </w:r>
          </w:p>
        </w:tc>
      </w:tr>
    </w:tbl>
    <w:p>
      <w:pPr>
        <w:spacing w:after="80"/>
      </w:pP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自动测试验证代码行为与故障恢复；人工论文答案评分与完整部署演示按各自实际记录认定。</w:t>
      </w:r>
    </w:p>
    <w:p>
      <w:pPr>
        <w:pStyle w:val="Heading1"/>
        <w:keepNext/>
        <w:spacing w:before="280" w:after="160"/>
      </w:pPr>
      <w:r>
        <w:rPr>
          <w:rFonts w:ascii="黑体" w:hAnsi="黑体" w:eastAsia="黑体"/>
          <w:b/>
          <w:color w:val="000000"/>
          <w:sz w:val="32"/>
        </w:rPr>
        <w:t>结果解读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M3固定60题测试集上，纯向量Hit@5为0.4167，混合检索为0.4333；MRR由0.2992提高到0.3538，Recall@5由0.3250提高到0.3583。此结论仅适用于359个旧持久分块与来源锚点草案标注。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检索阶段计时复用共享查询向量，不能用3.2ms或8.3ms宣称在线端到端延迟。三解析器记录覆盖10篇论文的30次实际解析，原文锚点保留检查不替代双栏、表格和公式语义人工核验。</w:t>
      </w:r>
    </w:p>
    <w:p>
      <w:pPr>
        <w:pStyle w:val="Heading1"/>
        <w:keepNext/>
        <w:spacing w:before="280" w:after="160"/>
      </w:pPr>
      <w:r>
        <w:rPr>
          <w:rFonts w:ascii="黑体" w:hAnsi="黑体" w:eastAsia="黑体"/>
          <w:b/>
          <w:color w:val="000000"/>
          <w:sz w:val="32"/>
        </w:rPr>
        <w:t>来源与复现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304"/>
        <w:gridCol w:w="4252"/>
        <w:gridCol w:w="1814"/>
      </w:tblGrid>
      <w:tr>
        <w:trPr>
          <w:tblHeader/>
          <w:cantSplit/>
        </w:trPr>
        <w:tc>
          <w:tcPr>
            <w:tcW w:type="dxa" w:w="1701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实验</w:t>
            </w:r>
          </w:p>
        </w:tc>
        <w:tc>
          <w:tcPr>
            <w:tcW w:type="dxa" w:w="1304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用途</w:t>
            </w:r>
          </w:p>
        </w:tc>
        <w:tc>
          <w:tcPr>
            <w:tcW w:type="dxa" w:w="4252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原始结果路径</w:t>
            </w:r>
          </w:p>
        </w:tc>
        <w:tc>
          <w:tcPr>
            <w:tcW w:type="dxa" w:w="1814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题集哈希前12位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三解析器30次真实解析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10篇论文×3解析器 自动锚点检查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reports\experiments\retrieval\parsers\results.json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9cd5bd8e8fd3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Chroma与FAISS查询对比</w:t>
            </w:r>
          </w:p>
        </w:tc>
        <w:tc>
          <w:tcPr>
            <w:tcW w:type="dxa" w:w="1304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20题dev 359块 仅库查询时间</w:t>
            </w:r>
          </w:p>
        </w:tc>
        <w:tc>
          <w:tcPr>
            <w:tcW w:type="dxa" w:w="4252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reports\experiments\retrieval\vectorstores\results.json</w:t>
            </w:r>
          </w:p>
        </w:tc>
        <w:tc>
          <w:tcPr>
            <w:tcW w:type="dxa" w:w="1814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f4f0a2b910a6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RRF与Top K开发集消融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20题dev 复用真实排序 零新增推理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reports\experiments\retrieval\dev-parameters\results.json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f4f0a2b910a6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M3测试集纯向量</w:t>
            </w:r>
          </w:p>
        </w:tc>
        <w:tc>
          <w:tcPr>
            <w:tcW w:type="dxa" w:w="1304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60题test 359旧持久块 不含共享编码</w:t>
            </w:r>
          </w:p>
        </w:tc>
        <w:tc>
          <w:tcPr>
            <w:tcW w:type="dxa" w:w="4252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reports\experiments\retrieval\m3\test\vector\results.json</w:t>
            </w:r>
          </w:p>
        </w:tc>
        <w:tc>
          <w:tcPr>
            <w:tcW w:type="dxa" w:w="1814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32d8a04817b6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M3测试集混合检索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60题test 359旧持久块 不含共享编码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reports\experiments\retrieval\m3\test\hybrid\results.json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32d8a04817b6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M3开发集纯向量</w:t>
            </w:r>
          </w:p>
        </w:tc>
        <w:tc>
          <w:tcPr>
            <w:tcW w:type="dxa" w:w="1304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20题dev 359旧持久块 不含共享编码</w:t>
            </w:r>
          </w:p>
        </w:tc>
        <w:tc>
          <w:tcPr>
            <w:tcW w:type="dxa" w:w="4252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reports\experiments\retrieval\m3\dev\vector\results.json</w:t>
            </w:r>
          </w:p>
        </w:tc>
        <w:tc>
          <w:tcPr>
            <w:tcW w:type="dxa" w:w="1814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f4f0a2b910a6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M3开发集混合检索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20题dev 359旧持久块 不含共享编码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reports\experiments\retrieval\m3\dev\hybrid\results.json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f4f0a2b910a6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十次真实线上功能样本</w:t>
            </w:r>
          </w:p>
        </w:tc>
        <w:tc>
          <w:tcPr>
            <w:tcW w:type="dxa" w:w="1304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10次线上诊断 非受控性能基准</w:t>
            </w:r>
          </w:p>
        </w:tc>
        <w:tc>
          <w:tcPr>
            <w:tcW w:type="dxa" w:w="4252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reports\experiments\online-functionality\results.json</w:t>
            </w:r>
          </w:p>
        </w:tc>
        <w:tc>
          <w:tcPr>
            <w:tcW w:type="dxa" w:w="1814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未记录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M3e分块 固定256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同20题dev 同m3e 共享真实编码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reports\experiments\retrieval\chunking\m3e\fixed-256\results.json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f4f0a2b910a6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M3e分块 固定512</w:t>
            </w:r>
          </w:p>
        </w:tc>
        <w:tc>
          <w:tcPr>
            <w:tcW w:type="dxa" w:w="1304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同20题dev 同m3e 共享真实编码</w:t>
            </w:r>
          </w:p>
        </w:tc>
        <w:tc>
          <w:tcPr>
            <w:tcW w:type="dxa" w:w="4252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reports\experiments\retrieval\chunking\m3e\fixed-512\results.json</w:t>
            </w:r>
          </w:p>
        </w:tc>
        <w:tc>
          <w:tcPr>
            <w:tcW w:type="dxa" w:w="1814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f4f0a2b910a6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M3e分块 固定1024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同20题dev 同m3e 共享真实编码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reports\experiments\retrieval\chunking\m3e\fixed-1024\results.json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f4f0a2b910a6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M3e分块 递归512</w:t>
            </w:r>
          </w:p>
        </w:tc>
        <w:tc>
          <w:tcPr>
            <w:tcW w:type="dxa" w:w="1304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同20题dev 同m3e 共享真实编码</w:t>
            </w:r>
          </w:p>
        </w:tc>
        <w:tc>
          <w:tcPr>
            <w:tcW w:type="dxa" w:w="4252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reports\experiments\retrieval\chunking\m3e\recursive-512\results.json</w:t>
            </w:r>
          </w:p>
        </w:tc>
        <w:tc>
          <w:tcPr>
            <w:tcW w:type="dxa" w:w="1814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f4f0a2b910a6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M3e分块 句段边界512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同20题dev 同m3e 共享真实编码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reports\experiments\retrieval\chunking\m3e\semantic-512\results.json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f4f0a2b910a6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M3e真实编码与完整窗口</w:t>
            </w:r>
          </w:p>
        </w:tc>
        <w:tc>
          <w:tcPr>
            <w:tcW w:type="dxa" w:w="1304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1836唯一文本共享编码 20查询单列</w:t>
            </w:r>
          </w:p>
        </w:tc>
        <w:tc>
          <w:tcPr>
            <w:tcW w:type="dxa" w:w="4252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reports\experiments\retrieval\encoding\m3e\results.json</w:t>
            </w:r>
          </w:p>
        </w:tc>
        <w:tc>
          <w:tcPr>
            <w:tcW w:type="dxa" w:w="1814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f4f0a2b910a6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BGE-large与M3e同递归342块对比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同20dev与同342块 不同真实模型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reports\experiments\retrieval\chunking\bge-zh\recursive-512\results.json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f4f0a2b910a6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BGE-large真实编码速度</w:t>
            </w:r>
          </w:p>
        </w:tc>
        <w:tc>
          <w:tcPr>
            <w:tcW w:type="dxa" w:w="1304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20查询独立计时 文档编码分开</w:t>
            </w:r>
          </w:p>
        </w:tc>
        <w:tc>
          <w:tcPr>
            <w:tcW w:type="dxa" w:w="4252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reports\experiments\retrieval\encoding\bge-zh\results.json</w:t>
            </w:r>
          </w:p>
        </w:tc>
        <w:tc>
          <w:tcPr>
            <w:tcW w:type="dxa" w:w="1814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f4f0a2b910a6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M3测试集混合加重排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同60test 旧359索引 完整原token-ID精排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reports\experiments\retrieval\m3\test\hybrid_rerank\results.json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32d8a04817b6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60题短答案生成基线</w:t>
            </w:r>
          </w:p>
        </w:tc>
        <w:tc>
          <w:tcPr>
            <w:tcW w:type="dxa" w:w="1304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真实冻结检索输入 生成阶段 含待人工评分</w:t>
            </w:r>
          </w:p>
        </w:tc>
        <w:tc>
          <w:tcPr>
            <w:tcW w:type="dxa" w:w="4252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reports\experiments\generation\baseline\results.json</w:t>
            </w:r>
          </w:p>
        </w:tc>
        <w:tc>
          <w:tcPr>
            <w:tcW w:type="dxa" w:w="1814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32d8a04817b6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五组生成参数单因素对比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同4dev×5配置 共20次模型回答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reports\experiments\generation\parameters\results.json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4b7b1aea1c4b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旧与新Prompt规则对比</w:t>
            </w:r>
          </w:p>
        </w:tc>
        <w:tc>
          <w:tcPr>
            <w:tcW w:type="dxa" w:w="1304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同4dev上下文 规则检查不当人工质量</w:t>
            </w:r>
          </w:p>
        </w:tc>
        <w:tc>
          <w:tcPr>
            <w:tcW w:type="dxa" w:w="4252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reports\experiments\generation\prompt\results.json</w:t>
            </w:r>
          </w:p>
        </w:tc>
        <w:tc>
          <w:tcPr>
            <w:tcW w:type="dxa" w:w="1814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4b7b1aea1c4b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Agent与固定RAG路由样例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小规模固定问题组 不推广为全题准确率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reports\experiments\generation\agent\results.json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8b5cf6346f37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本地工具串行与并行</w:t>
            </w:r>
          </w:p>
        </w:tc>
        <w:tc>
          <w:tcPr>
            <w:tcW w:type="dxa" w:w="1304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独立本地工具实际耗时 不冒充LLM并发加速</w:t>
            </w:r>
          </w:p>
        </w:tc>
        <w:tc>
          <w:tcPr>
            <w:tcW w:type="dxa" w:w="4252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reports\experiments\generation\parallel\results.json</w:t>
            </w:r>
          </w:p>
        </w:tc>
        <w:tc>
          <w:tcPr>
            <w:tcW w:type="dxa" w:w="1814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1fba000db531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真实查询缓存冷暖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真实模型冷请求和精确重复缓存请求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reports\experiments\generation\cache\results.json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7afc4adfd939</w:t>
            </w:r>
          </w:p>
        </w:tc>
      </w:tr>
    </w:tbl>
    <w:p>
      <w:pPr>
        <w:spacing w:after="80"/>
      </w:pP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完整SHA256、配置、模型版本、索引版本和逐题输出保存在原始JSON与交付状态清单。哈希前缀仅用于表内核对。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M3组复用旧持久索引的359个分块，不与修订后递归分块的新变体混为同一索引。其查询向量一次真实编码后复用；表内库检索、BM25与RRF时间不含共享编码，不代表在线端到端响应时间。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原文锚点由程序核对和映射，属于来源检查草案标注；人工题集共识与答案质量评分仍待完成。</w:t>
      </w:r>
    </w:p>
    <w:p>
      <w:pPr>
        <w:pStyle w:val="Heading1"/>
        <w:keepNext/>
        <w:spacing w:before="280" w:after="160"/>
      </w:pPr>
      <w:r>
        <w:rPr>
          <w:rFonts w:ascii="黑体" w:hAnsi="黑体" w:eastAsia="黑体"/>
          <w:b/>
          <w:color w:val="000000"/>
          <w:sz w:val="32"/>
        </w:rPr>
        <w:t>失败与改进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四类Bad Case及实际改进记录见实验与BadCase附件。只有固定语料、题目和统计规则下的前后真实测量，才能作为改进证据。</w:t>
      </w:r>
    </w:p>
    <w:sectPr w:rsidR="00FC693F" w:rsidRPr="0006063C" w:rsidSect="00034616"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2026-10-11T07:22:00Z</dcterms:created>
  <dcterms:modified xsi:type="dcterms:W3CDTF">2026-10-11T07:22:00Z</dcterms:modified>
  <cp:category/>
</cp:coreProperties>
</file>