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20"/>
      </w:pPr>
      <w:r>
        <w:rPr>
          <w:rFonts w:ascii="黑体" w:hAnsi="黑体" w:eastAsia="黑体"/>
          <w:b/>
          <w:color w:val="000000"/>
          <w:sz w:val="48"/>
        </w:rPr>
        <w:t>Bad Case分析报告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报告生成日期：2026-10-11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本报告按检索、生成、引用和Agent四类整理实际观察到的失败与修复。每条记录说明来源、根因、改动和复测状态。历史功能回归与固定题集的模型效果对比单独解读。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案例与修复记录</w:t>
      </w:r>
    </w:p>
    <w:p>
      <w:pPr>
        <w:pStyle w:val="Heading2"/>
        <w:keepNext/>
        <w:spacing w:before="280" w:after="160"/>
      </w:pPr>
      <w:r>
        <w:rPr>
          <w:rFonts w:ascii="黑体" w:hAnsi="黑体" w:eastAsia="黑体"/>
          <w:b/>
          <w:color w:val="000000"/>
          <w:sz w:val="26"/>
        </w:rPr>
        <w:t>BC-RETRIEVAL-01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类别：检索失败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观察结果：实际4题验收中，ViT架构事实题前五条没有覆盖全部标注证据，其他论文的相似架构段落干扰排名。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根因：中文问题与英文实体的语义/关键词差异，以及相近架构文本；短锚点相关性标注还需人工核对。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实施改动：保留BM25与RRF，完成真实分块、模型、RRF/TopK对比；用dev选取配置，test只记录冻结结果。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改进前记录：reports/ui/standard-acceptance/hybrid.json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改进后记录：同20dev，RRF60至20：Hit@5均0.40，Recall@5均0.35，MRR 0.314796至0.324717；排名小幅改善，漏召回仍在。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复测状态：已实施同题开发集参数迭代，不夸大效果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验证来源：reports/ui/standard-acceptance/summary.json；reports/experiments/retrieval/dev-parameters/results.json</w:t>
      </w:r>
    </w:p>
    <w:p>
      <w:pPr>
        <w:pStyle w:val="Heading2"/>
        <w:keepNext/>
        <w:spacing w:before="280" w:after="160"/>
      </w:pPr>
      <w:r>
        <w:rPr>
          <w:rFonts w:ascii="黑体" w:hAnsi="黑体" w:eastAsia="黑体"/>
          <w:b/>
          <w:color w:val="000000"/>
          <w:sz w:val="26"/>
        </w:rPr>
        <w:t>BC-GENERATION-01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类别：生成错误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观察结果：真实模型返回不完整JSON或在定性对比中添加无关性能数字，不能形成完整中文表。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根因：只有自然语言格式提示，未限制行数和结构；条件列与性能列混淆。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实施改动：原生JSON schema限制指定行数和列，逐列验证来源和数值，最多一次有界修复，失败明确降级。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改进前记录：请求90009b0b7fac4c38811df8489ac73e65为evidence_excerpts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改进后记录：请求e3012095efc349f89eb964d11ecb5b48为llm_grounded；中文表结构可用，语义仍需评分。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复测状态：已实现 有真实线上前后样例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比较边界：线上前后关注点有变化，仅为诊断样例；受控Prompt实验另外记录。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验证来源：reports/ui/browser-standard-20261010.json；reports/testing/agent-generation-final-20261010.xml</w:t>
      </w:r>
    </w:p>
    <w:p>
      <w:pPr>
        <w:pStyle w:val="Heading2"/>
        <w:keepNext/>
        <w:spacing w:before="280" w:after="160"/>
      </w:pPr>
      <w:r>
        <w:rPr>
          <w:rFonts w:ascii="黑体" w:hAnsi="黑体" w:eastAsia="黑体"/>
          <w:b/>
          <w:color w:val="000000"/>
          <w:sz w:val="26"/>
        </w:rPr>
        <w:t>BC-CITATION-01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类别：引用错误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观察结果：Swin早期回答把S1写为模型推断的第4页，实际S1来自物理页2；合并引用格式也曾被误判为无来源。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根因：模型自行生成页码；解析器只接受单个来源编号。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实施改动：页码由服务器原文元数据校正；合并来源展开后逐一核对论文归属，不放宽未知引用与数字规则。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改进前记录：请求b68e34a7df634d4992b3127b6ff336f1的来源页与模型页码不一致。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改进后记录：新版原文抽屉默认展示真实物理页；已知错误页码的回归会校正，未知来源仍保留待核对。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复测状态：已实现 定向回归与真实浏览器原页通过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验证来源：reports/testing/ui-final-critical-20261010.xml；docs/screenshots/新版原文证据.jpg</w:t>
      </w:r>
    </w:p>
    <w:p>
      <w:pPr>
        <w:pStyle w:val="Heading2"/>
        <w:keepNext/>
        <w:spacing w:before="280" w:after="160"/>
      </w:pPr>
      <w:r>
        <w:rPr>
          <w:rFonts w:ascii="黑体" w:hAnsi="黑体" w:eastAsia="黑体"/>
          <w:b/>
          <w:color w:val="000000"/>
          <w:sz w:val="26"/>
        </w:rPr>
        <w:t>BC-AGENT-01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类别：Agent决策错误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观察结果：已明确选定两篇论文时，规划模型仍编造DOI作为文档ID，首次工具失败后目录恢复增加额外步骤。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根因：把本应由服务器确认的范围再次交给规划模型生成。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实施改动：显式两篇论文比较固定服务器范围，保留一次实际模型证据生成；一般概念、计算和问题关键词走对应短路由。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改进前记录：请求54ffc841003946d89bd8a60ef731b060含错误文档ID、3次工具调用。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改进后记录：请求e3012095efc349f89eb964d11ecb5b48使用两个真实ID、1次工具调用完成结构化表。；概念、计算、时间、问题关键词、论文事实5个实际样例路由全部匹配，仅作小样本功能证据。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复测状态：已实现 定向回归通过 5个路由样例已实测归档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验证来源：reports/ui/browser-standard-20261010.json；reports/testing/requirement-gaps-20261010.xml；reports/experiments/generation/agent/results.json</w:t>
      </w:r>
    </w:p>
    <w:p>
      <w:pPr>
        <w:pStyle w:val="Heading2"/>
        <w:keepNext/>
        <w:spacing w:before="280" w:after="160"/>
      </w:pPr>
      <w:r>
        <w:rPr>
          <w:rFonts w:ascii="黑体" w:hAnsi="黑体" w:eastAsia="黑体"/>
          <w:b/>
          <w:color w:val="000000"/>
          <w:sz w:val="26"/>
        </w:rPr>
        <w:t>BC-WINDOW-01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类别：检索失败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观察结果：较长WordPiece文档窗口decode后再次encode会膨胀，导致合法分块的Embedding或重排输入超限。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根因：文本窗口还原不保证token-ID边界保持，原实现为避免丢尾而拒绝请求。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实施改动：改为原token-ID完整分窗，特殊token预算精确，尾部全部保留；短文本与原编码核对，索引策略指纹更新。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改进前记录：真实m3e分块实验触发decode/re-encode长度Guard。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改进后记录：m3e五分块与BGE-large递归实际完成；原token-ID短文本parity与完整尾部覆盖通过，没有使用假向量。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复测状态：已修复并真实模型验证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验证来源：src/retrieval/token_windows.py；reports/experiments/retrieval/encoding/m3e/results.json；reports/experiments/retrieval/encoding/bge-zh/results.json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固定数据集前后对比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保留所有实际失败类型。结构与引用规则通过不等于语义正确。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同20开发题RRF60与20的Hit@5均0.40、Recall@5均0.35，MRR从0.3148到0.3247。该改动小幅改善排序，未改善漏召回。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测试集上的后续修复意味着题集已暴露；若据此继续调参，不能把该题集继续称为未见数据。功能测试通过也不自动证明所有论文问答都正确。</w:t>
      </w:r>
    </w:p>
    <w:sectPr w:rsidR="00FC693F" w:rsidRPr="0006063C" w:rsidSect="00034616"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2026-10-11T07:22:01Z</dcterms:created>
  <dcterms:modified xsi:type="dcterms:W3CDTF">2026-10-11T07:22:01Z</dcterms:modified>
  <cp:category/>
</cp:coreProperties>
</file>