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g"/>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1960" w:firstLineChars="700"/>
        <w:jc w:val="both"/>
        <w:textAlignment w:val="auto"/>
        <w:rPr>
          <w:rFonts w:ascii="宋体" w:hAnsi="宋体" w:eastAsia="宋体" w:cs="宋体"/>
          <w:sz w:val="28"/>
          <w:szCs w:val="28"/>
        </w:rPr>
      </w:pPr>
      <w:r>
        <w:rPr>
          <w:rFonts w:ascii="宋体" w:hAnsi="宋体" w:eastAsia="宋体" w:cs="宋体"/>
          <w:sz w:val="28"/>
          <w:szCs w:val="28"/>
        </w:rPr>
        <w:t>实验</w:t>
      </w:r>
      <w:r>
        <w:rPr>
          <w:rFonts w:hint="eastAsia" w:ascii="宋体" w:hAnsi="宋体" w:eastAsia="宋体" w:cs="宋体"/>
          <w:sz w:val="28"/>
          <w:szCs w:val="28"/>
          <w:lang w:val="en-US" w:eastAsia="zh-CN"/>
        </w:rPr>
        <w:t>二</w:t>
      </w:r>
      <w:r>
        <w:rPr>
          <w:rFonts w:ascii="宋体" w:hAnsi="宋体" w:eastAsia="宋体" w:cs="宋体"/>
          <w:sz w:val="28"/>
          <w:szCs w:val="28"/>
        </w:rPr>
        <w:t> 有源二端网络等效参数的测定</w:t>
      </w:r>
    </w:p>
    <w:p>
      <w:pPr>
        <w:keepNext w:val="0"/>
        <w:keepLines w:val="0"/>
        <w:pageBreakBefore w:val="0"/>
        <w:widowControl w:val="0"/>
        <w:kinsoku/>
        <w:wordWrap/>
        <w:overflowPunct/>
        <w:topLinePunct w:val="0"/>
        <w:autoSpaceDE/>
        <w:autoSpaceDN/>
        <w:bidi w:val="0"/>
        <w:adjustRightInd/>
        <w:snapToGrid/>
        <w:ind w:firstLine="1960" w:firstLineChars="700"/>
        <w:jc w:val="both"/>
        <w:textAlignment w:val="auto"/>
        <w:rPr>
          <w:rFonts w:ascii="宋体" w:hAnsi="宋体" w:eastAsia="宋体" w:cs="宋体"/>
          <w:b/>
          <w:bCs/>
          <w:sz w:val="24"/>
          <w:szCs w:val="24"/>
        </w:rPr>
      </w:pPr>
      <w:r>
        <w:rPr>
          <w:rFonts w:hint="eastAsia" w:ascii="宋体" w:hAnsi="宋体" w:eastAsia="宋体" w:cs="宋体"/>
          <w:sz w:val="28"/>
          <w:szCs w:val="28"/>
          <w:lang w:val="en-US" w:eastAsia="zh-CN"/>
        </w:rPr>
        <w:t>计算机202班   高光耀   5701120153</w:t>
      </w:r>
      <w:r>
        <w:rPr>
          <w:rFonts w:ascii="宋体" w:hAnsi="宋体" w:eastAsia="宋体" w:cs="宋体"/>
          <w:sz w:val="28"/>
          <w:szCs w:val="28"/>
        </w:rPr>
        <w:br w:type="textWrapping"/>
      </w:r>
      <w:r>
        <w:rPr>
          <w:rFonts w:ascii="宋体" w:hAnsi="宋体" w:eastAsia="宋体" w:cs="宋体"/>
          <w:sz w:val="24"/>
          <w:szCs w:val="24"/>
        </w:rPr>
        <w:br w:type="textWrapping"/>
      </w:r>
      <w:r>
        <w:rPr>
          <w:rFonts w:ascii="宋体" w:hAnsi="宋体" w:eastAsia="宋体" w:cs="宋体"/>
          <w:b/>
          <w:bCs/>
          <w:sz w:val="24"/>
          <w:szCs w:val="24"/>
        </w:rPr>
        <w:t>一、实验目的</w:t>
      </w:r>
      <w:r>
        <w:rPr>
          <w:rFonts w:ascii="宋体" w:hAnsi="宋体" w:eastAsia="宋体" w:cs="宋体"/>
          <w:b/>
          <w:bCs/>
          <w:sz w:val="24"/>
          <w:szCs w:val="24"/>
        </w:rPr>
        <w:br w:type="textWrapping"/>
      </w:r>
      <w:r>
        <w:rPr>
          <w:rFonts w:ascii="宋体" w:hAnsi="宋体" w:eastAsia="宋体" w:cs="宋体"/>
          <w:sz w:val="24"/>
          <w:szCs w:val="24"/>
        </w:rPr>
        <w:t>(1)验证戴维南定理和诺顿定理的正确性,加深对这两个定理的理解。</w:t>
      </w:r>
      <w:r>
        <w:rPr>
          <w:rFonts w:ascii="宋体" w:hAnsi="宋体" w:eastAsia="宋体" w:cs="宋体"/>
          <w:sz w:val="24"/>
          <w:szCs w:val="24"/>
        </w:rPr>
        <w:br w:type="textWrapping"/>
      </w:r>
      <w:r>
        <w:rPr>
          <w:rFonts w:ascii="宋体" w:hAnsi="宋体" w:eastAsia="宋体" w:cs="宋体"/>
          <w:sz w:val="24"/>
          <w:szCs w:val="24"/>
        </w:rPr>
        <w:t>(2)掌握测量有源二端网络等效参数的一般方法。</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二、实验原理</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sz w:val="24"/>
          <w:szCs w:val="24"/>
        </w:rPr>
        <w:t>1.有源二端网络</w:t>
      </w:r>
      <w:r>
        <w:rPr>
          <w:rFonts w:ascii="宋体" w:hAnsi="宋体" w:eastAsia="宋体" w:cs="宋体"/>
          <w:sz w:val="24"/>
          <w:szCs w:val="24"/>
        </w:rPr>
        <w:br w:type="textWrapping"/>
      </w:r>
      <w:r>
        <w:rPr>
          <w:rFonts w:ascii="宋体" w:hAnsi="宋体" w:eastAsia="宋体" w:cs="宋体"/>
          <w:sz w:val="24"/>
          <w:szCs w:val="24"/>
        </w:rPr>
        <w:t>任何一个线性含源网络,如果仅研究其中一条支路的电压和电流，则可将电路的其余部分看作是一个有源二端网络(或称为含源一端口网络)。</w:t>
      </w:r>
      <w:r>
        <w:rPr>
          <w:rFonts w:ascii="宋体" w:hAnsi="宋体" w:eastAsia="宋体" w:cs="宋体"/>
          <w:sz w:val="24"/>
          <w:szCs w:val="24"/>
        </w:rPr>
        <w:br w:type="textWrapping"/>
      </w:r>
      <w:r>
        <w:rPr>
          <w:rFonts w:ascii="宋体" w:hAnsi="宋体" w:eastAsia="宋体" w:cs="宋体"/>
          <w:sz w:val="24"/>
          <w:szCs w:val="24"/>
        </w:rPr>
        <w:t>戴维南定理指出:任何一个线性有源网络,总可以用一个电压源与一个电阻的串联来等效代替,此电压源的电动势U,等于这个有源二端网络的开路电压Uoc,其等效内阻R。等于该网络中所有独立源均置零(理想电压源视为短接，理想电流源视为开路)时的等效电阻。</w:t>
      </w:r>
      <w:r>
        <w:rPr>
          <w:rFonts w:ascii="宋体" w:hAnsi="宋体" w:eastAsia="宋体" w:cs="宋体"/>
          <w:sz w:val="24"/>
          <w:szCs w:val="24"/>
        </w:rPr>
        <w:br w:type="textWrapping"/>
      </w:r>
      <w:r>
        <w:rPr>
          <w:rFonts w:ascii="宋体" w:hAnsi="宋体" w:eastAsia="宋体" w:cs="宋体"/>
          <w:sz w:val="24"/>
          <w:szCs w:val="24"/>
        </w:rPr>
        <w:t>诺顿定理指出：任何一个线性有源网络，总可以用一个电流源与一个电阻的并联组合来等效代替,此电流源的电流1,等于这个有源二端网络的短路电流Isc,其等效内阻R</w:t>
      </w:r>
      <w:r>
        <w:rPr>
          <w:rFonts w:hint="eastAsia" w:ascii="宋体" w:hAnsi="宋体" w:eastAsia="宋体" w:cs="宋体"/>
          <w:sz w:val="24"/>
          <w:szCs w:val="24"/>
          <w:lang w:val="en-US" w:eastAsia="zh-CN"/>
        </w:rPr>
        <w:t>0</w:t>
      </w:r>
      <w:r>
        <w:rPr>
          <w:rFonts w:ascii="宋体" w:hAnsi="宋体" w:eastAsia="宋体" w:cs="宋体"/>
          <w:sz w:val="24"/>
          <w:szCs w:val="24"/>
        </w:rPr>
        <w:t>定义同戴维南定理。</w:t>
      </w:r>
      <w:r>
        <w:rPr>
          <w:rFonts w:ascii="宋体" w:hAnsi="宋体" w:eastAsia="宋体" w:cs="宋体"/>
          <w:sz w:val="24"/>
          <w:szCs w:val="24"/>
        </w:rPr>
        <w:br w:type="textWrapping"/>
      </w:r>
      <w:r>
        <w:rPr>
          <w:rFonts w:ascii="宋体" w:hAnsi="宋体" w:eastAsia="宋体" w:cs="宋体"/>
          <w:sz w:val="24"/>
          <w:szCs w:val="24"/>
        </w:rPr>
        <w:t>Uoc(Us)和R</w:t>
      </w:r>
      <w:r>
        <w:rPr>
          <w:rFonts w:hint="eastAsia" w:ascii="宋体" w:hAnsi="宋体" w:eastAsia="宋体" w:cs="宋体"/>
          <w:sz w:val="24"/>
          <w:szCs w:val="24"/>
          <w:lang w:val="en-US" w:eastAsia="zh-CN"/>
        </w:rPr>
        <w:t>0</w:t>
      </w:r>
      <w:r>
        <w:rPr>
          <w:rFonts w:ascii="宋体" w:hAnsi="宋体" w:eastAsia="宋体" w:cs="宋体"/>
          <w:sz w:val="24"/>
          <w:szCs w:val="24"/>
        </w:rPr>
        <w:t>或者Isc(I</w:t>
      </w:r>
      <w:r>
        <w:rPr>
          <w:rFonts w:hint="eastAsia" w:ascii="宋体" w:hAnsi="宋体" w:eastAsia="宋体" w:cs="宋体"/>
          <w:sz w:val="24"/>
          <w:szCs w:val="24"/>
          <w:lang w:val="en-US" w:eastAsia="zh-CN"/>
        </w:rPr>
        <w:t>s</w:t>
      </w:r>
      <w:r>
        <w:rPr>
          <w:rFonts w:ascii="宋体" w:hAnsi="宋体" w:eastAsia="宋体" w:cs="宋体"/>
          <w:sz w:val="24"/>
          <w:szCs w:val="24"/>
        </w:rPr>
        <w:t>)和R</w:t>
      </w:r>
      <w:r>
        <w:rPr>
          <w:rFonts w:hint="eastAsia" w:ascii="宋体" w:hAnsi="宋体" w:eastAsia="宋体" w:cs="宋体"/>
          <w:sz w:val="24"/>
          <w:szCs w:val="24"/>
          <w:lang w:val="en-US" w:eastAsia="zh-CN"/>
        </w:rPr>
        <w:t>0</w:t>
      </w:r>
      <w:r>
        <w:rPr>
          <w:rFonts w:ascii="宋体" w:hAnsi="宋体" w:eastAsia="宋体" w:cs="宋体"/>
          <w:sz w:val="24"/>
          <w:szCs w:val="24"/>
        </w:rPr>
        <w:t>称为有源二端网络的等效参数。</w:t>
      </w:r>
    </w:p>
    <w:p>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sz w:val="24"/>
          <w:szCs w:val="24"/>
        </w:rPr>
        <w:t>2.有源二端网络等效参数的测量方法</w:t>
      </w:r>
      <w:r>
        <w:rPr>
          <w:rFonts w:ascii="宋体" w:hAnsi="宋体" w:eastAsia="宋体" w:cs="宋体"/>
          <w:sz w:val="24"/>
          <w:szCs w:val="24"/>
        </w:rPr>
        <w:br w:type="textWrapping"/>
      </w:r>
      <w:r>
        <w:rPr>
          <w:rFonts w:ascii="宋体" w:hAnsi="宋体" w:eastAsia="宋体" w:cs="宋体"/>
          <w:sz w:val="24"/>
          <w:szCs w:val="24"/>
        </w:rPr>
        <w:t>1)开路电压、短路电流法测R。</w:t>
      </w:r>
      <w:r>
        <w:rPr>
          <w:rFonts w:ascii="宋体" w:hAnsi="宋体" w:eastAsia="宋体" w:cs="宋体"/>
          <w:sz w:val="24"/>
          <w:szCs w:val="24"/>
        </w:rPr>
        <w:br w:type="textWrapping"/>
      </w:r>
      <w:r>
        <w:rPr>
          <w:rFonts w:ascii="宋体" w:hAnsi="宋体" w:eastAsia="宋体" w:cs="宋体"/>
          <w:sz w:val="24"/>
          <w:szCs w:val="24"/>
        </w:rPr>
        <w:t>在有源二端网络输出端开路时,用电压表直接测其输出端的开路电压Uoc,然后再将其输出端短路，用电流表测其短路电流Isc,则等效内阻为R</w:t>
      </w:r>
      <w:r>
        <w:rPr>
          <w:rFonts w:hint="eastAsia" w:ascii="宋体" w:hAnsi="宋体" w:eastAsia="宋体" w:cs="宋体"/>
          <w:sz w:val="24"/>
          <w:szCs w:val="24"/>
          <w:lang w:val="en-US" w:eastAsia="zh-CN"/>
        </w:rPr>
        <w:t>0</w:t>
      </w:r>
      <w:r>
        <w:rPr>
          <w:rFonts w:ascii="宋体" w:hAnsi="宋体" w:eastAsia="宋体" w:cs="宋体"/>
          <w:sz w:val="24"/>
          <w:szCs w:val="24"/>
        </w:rPr>
        <w:t>=Uoc</w:t>
      </w:r>
      <w:r>
        <w:rPr>
          <w:rFonts w:hint="eastAsia" w:ascii="宋体" w:hAnsi="宋体" w:eastAsia="宋体" w:cs="宋体"/>
          <w:sz w:val="24"/>
          <w:szCs w:val="24"/>
          <w:lang w:val="en-US" w:eastAsia="zh-CN"/>
        </w:rPr>
        <w:t>/</w:t>
      </w:r>
      <w:r>
        <w:rPr>
          <w:rFonts w:ascii="宋体" w:hAnsi="宋体" w:eastAsia="宋体" w:cs="宋体"/>
          <w:sz w:val="24"/>
          <w:szCs w:val="24"/>
        </w:rPr>
        <w:t>sco如果二端网络的内阻很小,将其输出端口短路易损坏其内部元件,因此不宜用此法。</w:t>
      </w:r>
      <w:r>
        <w:rPr>
          <w:rFonts w:ascii="宋体" w:hAnsi="宋体" w:eastAsia="宋体" w:cs="宋体"/>
          <w:sz w:val="24"/>
          <w:szCs w:val="24"/>
        </w:rPr>
        <w:br w:type="textWrapping"/>
      </w:r>
      <w:r>
        <w:rPr>
          <w:rFonts w:ascii="宋体" w:hAnsi="宋体" w:eastAsia="宋体" w:cs="宋体"/>
          <w:sz w:val="24"/>
          <w:szCs w:val="24"/>
        </w:rPr>
        <w:t>2)伏安法测R</w:t>
      </w:r>
      <w:r>
        <w:rPr>
          <w:rFonts w:hint="eastAsia" w:ascii="宋体" w:hAnsi="宋体" w:eastAsia="宋体" w:cs="宋体"/>
          <w:sz w:val="24"/>
          <w:szCs w:val="24"/>
          <w:lang w:val="en-US" w:eastAsia="zh-CN"/>
        </w:rPr>
        <w:t>0</w:t>
      </w:r>
      <w:r>
        <w:rPr>
          <w:rFonts w:ascii="宋体" w:hAnsi="宋体" w:eastAsia="宋体" w:cs="宋体"/>
          <w:sz w:val="24"/>
          <w:szCs w:val="24"/>
        </w:rPr>
        <w:br w:type="textWrapping"/>
      </w:r>
      <w:r>
        <w:rPr>
          <w:rFonts w:ascii="宋体" w:hAnsi="宋体" w:eastAsia="宋体" w:cs="宋体"/>
          <w:sz w:val="24"/>
          <w:szCs w:val="24"/>
        </w:rPr>
        <w:t>用电压表、电流表测出有源二端网络的外特性曲线,如图3-1所示。根据外特性曲线求出斜率tan</w:t>
      </w:r>
      <w:r>
        <w:rPr>
          <w:rFonts w:hint="eastAsia" w:ascii="宋体" w:hAnsi="宋体" w:eastAsia="宋体" w:cs="宋体"/>
          <w:sz w:val="24"/>
          <w:szCs w:val="24"/>
        </w:rPr>
        <w:t>φ</w:t>
      </w:r>
      <w:r>
        <w:rPr>
          <w:rFonts w:ascii="宋体" w:hAnsi="宋体" w:eastAsia="宋体" w:cs="宋体"/>
          <w:sz w:val="24"/>
          <w:szCs w:val="24"/>
        </w:rPr>
        <w:t>,则内阻R=tan</w:t>
      </w:r>
      <w:r>
        <w:rPr>
          <w:rFonts w:hint="eastAsia" w:ascii="宋体" w:hAnsi="宋体" w:eastAsia="宋体" w:cs="宋体"/>
          <w:sz w:val="24"/>
          <w:szCs w:val="24"/>
        </w:rPr>
        <w:t>φ</w:t>
      </w:r>
      <w:r>
        <w:rPr>
          <w:rFonts w:ascii="宋体" w:hAnsi="宋体" w:eastAsia="宋体" w:cs="宋体"/>
          <w:sz w:val="24"/>
          <w:szCs w:val="24"/>
        </w:rPr>
        <w:t>=</w:t>
      </w:r>
      <w:r>
        <w:rPr>
          <w:rFonts w:hint="eastAsia" w:ascii="宋体" w:hAnsi="宋体" w:eastAsia="宋体" w:cs="宋体"/>
          <w:sz w:val="24"/>
          <w:szCs w:val="24"/>
        </w:rPr>
        <w:t>∆</w:t>
      </w:r>
      <w:r>
        <w:rPr>
          <w:rFonts w:ascii="宋体" w:hAnsi="宋体" w:eastAsia="宋体" w:cs="宋体"/>
          <w:sz w:val="24"/>
          <w:szCs w:val="24"/>
        </w:rPr>
        <w:t>U/=Uoc</w:t>
      </w:r>
      <w:r>
        <w:rPr>
          <w:rFonts w:hint="eastAsia" w:ascii="宋体" w:hAnsi="宋体" w:eastAsia="宋体" w:cs="宋体"/>
          <w:sz w:val="24"/>
          <w:szCs w:val="24"/>
          <w:lang w:val="en-US" w:eastAsia="zh-CN"/>
        </w:rPr>
        <w:t>/</w:t>
      </w:r>
      <w:r>
        <w:rPr>
          <w:rFonts w:ascii="宋体" w:hAnsi="宋体" w:eastAsia="宋体" w:cs="宋体"/>
          <w:sz w:val="24"/>
          <w:szCs w:val="24"/>
        </w:rPr>
        <w:t>Isc也可以先测量开路电压Uo</w:t>
      </w:r>
      <w:r>
        <w:rPr>
          <w:rFonts w:hint="eastAsia" w:ascii="宋体" w:hAnsi="宋体" w:eastAsia="宋体" w:cs="宋体"/>
          <w:sz w:val="24"/>
          <w:szCs w:val="24"/>
          <w:lang w:val="en-US" w:eastAsia="zh-CN"/>
        </w:rPr>
        <w:t>c</w:t>
      </w:r>
      <w:r>
        <w:rPr>
          <w:rFonts w:ascii="宋体" w:hAnsi="宋体" w:eastAsia="宋体" w:cs="宋体"/>
          <w:sz w:val="24"/>
          <w:szCs w:val="24"/>
        </w:rPr>
        <w:t>,再测量电流为额定值</w:t>
      </w:r>
      <w:r>
        <w:rPr>
          <w:rFonts w:hint="eastAsia" w:ascii="宋体" w:hAnsi="宋体" w:eastAsia="宋体" w:cs="宋体"/>
          <w:sz w:val="24"/>
          <w:szCs w:val="24"/>
          <w:lang w:val="en-US" w:eastAsia="zh-CN"/>
        </w:rPr>
        <w:t>In</w:t>
      </w:r>
      <w:r>
        <w:rPr>
          <w:rFonts w:ascii="宋体" w:hAnsi="宋体" w:eastAsia="宋体" w:cs="宋体"/>
          <w:sz w:val="24"/>
          <w:szCs w:val="24"/>
        </w:rPr>
        <w:t>,时的输出端电压值U</w:t>
      </w:r>
      <w:r>
        <w:rPr>
          <w:rFonts w:hint="eastAsia" w:ascii="宋体" w:hAnsi="宋体" w:eastAsia="宋体" w:cs="宋体"/>
          <w:sz w:val="24"/>
          <w:szCs w:val="24"/>
          <w:lang w:val="en-US" w:eastAsia="zh-CN"/>
        </w:rPr>
        <w:t>n</w:t>
      </w:r>
      <w:r>
        <w:rPr>
          <w:rFonts w:ascii="宋体" w:hAnsi="宋体" w:eastAsia="宋体" w:cs="宋体"/>
          <w:sz w:val="24"/>
          <w:szCs w:val="24"/>
        </w:rPr>
        <w:t>。则内阻为R</w:t>
      </w:r>
      <w:r>
        <w:rPr>
          <w:rFonts w:hint="eastAsia" w:ascii="宋体" w:hAnsi="宋体" w:eastAsia="宋体" w:cs="宋体"/>
          <w:sz w:val="24"/>
          <w:szCs w:val="24"/>
          <w:lang w:val="en-US" w:eastAsia="zh-CN"/>
        </w:rPr>
        <w:t>0=(Uoc-Un)/In。</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drawing>
          <wp:inline distT="0" distB="0" distL="114300" distR="114300">
            <wp:extent cx="2138045" cy="4634230"/>
            <wp:effectExtent l="0" t="0" r="13970" b="10795"/>
            <wp:docPr id="1" name="图片 1" descr="22F72A566B963F732ABF432D2FFA6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2F72A566B963F732ABF432D2FFA6194"/>
                    <pic:cNvPicPr>
                      <a:picLocks noChangeAspect="1"/>
                    </pic:cNvPicPr>
                  </pic:nvPicPr>
                  <pic:blipFill>
                    <a:blip r:embed="rId4"/>
                    <a:stretch>
                      <a:fillRect/>
                    </a:stretch>
                  </pic:blipFill>
                  <pic:spPr>
                    <a:xfrm rot="16200000">
                      <a:off x="0" y="0"/>
                      <a:ext cx="2138045" cy="4634230"/>
                    </a:xfrm>
                    <a:prstGeom prst="rect">
                      <a:avLst/>
                    </a:prstGeom>
                  </pic:spPr>
                </pic:pic>
              </a:graphicData>
            </a:graphic>
          </wp:inline>
        </w:draw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3)半电压法测R</w:t>
      </w:r>
      <w:r>
        <w:rPr>
          <w:rFonts w:hint="eastAsia" w:ascii="宋体" w:hAnsi="宋体" w:eastAsia="宋体" w:cs="宋体"/>
          <w:sz w:val="24"/>
          <w:szCs w:val="24"/>
          <w:lang w:val="en-US" w:eastAsia="zh-CN"/>
        </w:rPr>
        <w:t>0</w:t>
      </w:r>
      <w:r>
        <w:rPr>
          <w:rFonts w:ascii="宋体" w:hAnsi="宋体" w:eastAsia="宋体" w:cs="宋体"/>
          <w:sz w:val="24"/>
          <w:szCs w:val="24"/>
        </w:rPr>
        <w:br w:type="textWrapping"/>
      </w:r>
      <w:r>
        <w:rPr>
          <w:rFonts w:ascii="宋体" w:hAnsi="宋体" w:eastAsia="宋体" w:cs="宋体"/>
          <w:sz w:val="24"/>
          <w:szCs w:val="24"/>
        </w:rPr>
        <w:t>如图3-2所示,当负载电压为被测网络开路电压的一半时,负载电阻(由电阻箱的读数确定)即为被测有源二端网络的等效内阻值。</w:t>
      </w:r>
      <w:r>
        <w:rPr>
          <w:rFonts w:ascii="宋体" w:hAnsi="宋体" w:eastAsia="宋体" w:cs="宋体"/>
          <w:sz w:val="24"/>
          <w:szCs w:val="24"/>
        </w:rPr>
        <w:br w:type="textWrapping"/>
      </w:r>
      <w:r>
        <w:rPr>
          <w:rFonts w:hint="eastAsia" w:ascii="宋体" w:hAnsi="宋体" w:eastAsia="宋体" w:cs="宋体"/>
          <w:sz w:val="24"/>
          <w:szCs w:val="24"/>
          <w:lang w:eastAsia="zh-CN"/>
        </w:rPr>
        <w:drawing>
          <wp:inline distT="0" distB="0" distL="114300" distR="114300">
            <wp:extent cx="2642235" cy="5093970"/>
            <wp:effectExtent l="0" t="0" r="11430" b="9525"/>
            <wp:docPr id="2" name="图片 2" descr="2DD7FEBFE7C18CAA7665ACF9CA449DF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DD7FEBFE7C18CAA7665ACF9CA449DF7"/>
                    <pic:cNvPicPr>
                      <a:picLocks noChangeAspect="1"/>
                    </pic:cNvPicPr>
                  </pic:nvPicPr>
                  <pic:blipFill>
                    <a:blip r:embed="rId5"/>
                    <a:stretch>
                      <a:fillRect/>
                    </a:stretch>
                  </pic:blipFill>
                  <pic:spPr>
                    <a:xfrm rot="5400000">
                      <a:off x="0" y="0"/>
                      <a:ext cx="2642235" cy="509397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eastAsia="宋体"/>
          <w:lang w:val="en-US" w:eastAsia="zh-CN"/>
        </w:rPr>
      </w:pPr>
      <w:r>
        <w:rPr>
          <w:rFonts w:ascii="宋体" w:hAnsi="宋体" w:eastAsia="宋体" w:cs="宋体"/>
          <w:sz w:val="24"/>
          <w:szCs w:val="24"/>
        </w:rPr>
        <w:br w:type="textWrapping"/>
      </w:r>
      <w:r>
        <w:rPr>
          <w:rFonts w:ascii="宋体" w:hAnsi="宋体" w:eastAsia="宋体" w:cs="宋体"/>
          <w:sz w:val="24"/>
          <w:szCs w:val="24"/>
        </w:rPr>
        <w:t>4)零示法测Uo</w:t>
      </w:r>
      <w:r>
        <w:rPr>
          <w:rFonts w:hint="eastAsia" w:ascii="宋体" w:hAnsi="宋体" w:eastAsia="宋体" w:cs="宋体"/>
          <w:sz w:val="24"/>
          <w:szCs w:val="24"/>
          <w:lang w:val="en-US" w:eastAsia="zh-CN"/>
        </w:rPr>
        <w:t>c</w:t>
      </w:r>
      <w:r>
        <w:rPr>
          <w:rFonts w:ascii="宋体" w:hAnsi="宋体" w:eastAsia="宋体" w:cs="宋体"/>
          <w:sz w:val="24"/>
          <w:szCs w:val="24"/>
        </w:rPr>
        <w:br w:type="textWrapping"/>
      </w:r>
      <w:r>
        <w:rPr>
          <w:rFonts w:ascii="宋体" w:hAnsi="宋体" w:eastAsia="宋体" w:cs="宋体"/>
          <w:sz w:val="24"/>
          <w:szCs w:val="24"/>
        </w:rPr>
        <w:t>在测量具有高内阻有源二端网络的开路电压时,用电压表直接测量会造成较</w:t>
      </w:r>
      <w:r>
        <w:rPr>
          <w:rFonts w:ascii="宋体" w:hAnsi="宋体" w:eastAsia="宋体" w:cs="宋体"/>
          <w:sz w:val="24"/>
          <w:szCs w:val="24"/>
        </w:rPr>
        <w:br w:type="textWrapping"/>
      </w:r>
      <w:r>
        <w:rPr>
          <w:rFonts w:ascii="宋体" w:hAnsi="宋体" w:eastAsia="宋体" w:cs="宋体"/>
          <w:sz w:val="24"/>
          <w:szCs w:val="24"/>
        </w:rPr>
        <w:t>大的误差。为了消除电压表内阻的影响，往往采用零示测量法,如图3-3所示。</w:t>
      </w:r>
      <w:r>
        <w:rPr>
          <w:rFonts w:ascii="宋体" w:hAnsi="宋体" w:eastAsia="宋体" w:cs="宋体"/>
          <w:sz w:val="24"/>
          <w:szCs w:val="24"/>
        </w:rPr>
        <w:br w:type="textWrapping"/>
      </w:r>
      <w:r>
        <w:rPr>
          <w:rFonts w:ascii="宋体" w:hAnsi="宋体" w:eastAsia="宋体" w:cs="宋体"/>
          <w:sz w:val="24"/>
          <w:szCs w:val="24"/>
        </w:rPr>
        <w:t>零示法测量原理是用一低内阻的稳压电源与被测有源二端网络进行比较,当稳压电源的输出电压与有源二端网络的开路电压相等时,电压表的读数将为“0”。</w:t>
      </w:r>
      <w:r>
        <w:rPr>
          <w:rFonts w:ascii="宋体" w:hAnsi="宋体" w:eastAsia="宋体" w:cs="宋体"/>
          <w:sz w:val="24"/>
          <w:szCs w:val="24"/>
        </w:rPr>
        <w:br w:type="textWrapping"/>
      </w:r>
      <w:r>
        <w:rPr>
          <w:rFonts w:ascii="宋体" w:hAnsi="宋体" w:eastAsia="宋体" w:cs="宋体"/>
          <w:sz w:val="24"/>
          <w:szCs w:val="24"/>
        </w:rPr>
        <w:t>然后将电路断开,测量此时稳压电源的输出电压,即为被测有源二端网络的开路电压。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r>
        <w:rPr>
          <w:rFonts w:hint="eastAsia" w:eastAsia="宋体"/>
          <w:lang w:val="en-US" w:eastAsia="zh-CN"/>
        </w:rPr>
        <w:drawing>
          <wp:inline distT="0" distB="0" distL="114300" distR="114300">
            <wp:extent cx="5111750" cy="2174875"/>
            <wp:effectExtent l="0" t="0" r="8890" b="4445"/>
            <wp:docPr id="3" name="图片 3" descr="0CD85C0901895DE02FB297B732BF71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CD85C0901895DE02FB297B732BF71FC"/>
                    <pic:cNvPicPr>
                      <a:picLocks noChangeAspect="1"/>
                    </pic:cNvPicPr>
                  </pic:nvPicPr>
                  <pic:blipFill>
                    <a:blip r:embed="rId6"/>
                    <a:stretch>
                      <a:fillRect/>
                    </a:stretch>
                  </pic:blipFill>
                  <pic:spPr>
                    <a:xfrm>
                      <a:off x="0" y="0"/>
                      <a:ext cx="5111750" cy="217487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eastAsia="宋体"/>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firstLine="482" w:firstLineChars="200"/>
        <w:textAlignment w:val="auto"/>
        <w:rPr>
          <w:rFonts w:hint="eastAsia" w:eastAsia="宋体"/>
          <w:b/>
          <w:bCs/>
          <w:sz w:val="24"/>
          <w:szCs w:val="24"/>
          <w:lang w:val="en-US" w:eastAsia="zh-CN"/>
        </w:rPr>
      </w:pPr>
      <w:r>
        <w:rPr>
          <w:rFonts w:hint="eastAsia" w:eastAsia="宋体"/>
          <w:b/>
          <w:bCs/>
          <w:sz w:val="24"/>
          <w:szCs w:val="24"/>
          <w:lang w:val="en-US" w:eastAsia="zh-CN"/>
        </w:rPr>
        <w:t>实验设备</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eastAsia="宋体"/>
          <w:sz w:val="24"/>
          <w:szCs w:val="24"/>
          <w:lang w:val="en-US" w:eastAsia="zh-CN"/>
        </w:rPr>
      </w:pPr>
      <w:r>
        <w:rPr>
          <w:rFonts w:hint="default" w:eastAsia="宋体"/>
          <w:sz w:val="24"/>
          <w:szCs w:val="24"/>
          <w:lang w:val="en-US" w:eastAsia="zh-CN"/>
        </w:rPr>
        <w:drawing>
          <wp:inline distT="0" distB="0" distL="114300" distR="114300">
            <wp:extent cx="2697480" cy="5337810"/>
            <wp:effectExtent l="0" t="0" r="11430" b="0"/>
            <wp:docPr id="4" name="图片 4" descr="44AC1D575F339899ABF017FE92446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4AC1D575F339899ABF017FE92446751"/>
                    <pic:cNvPicPr>
                      <a:picLocks noChangeAspect="1"/>
                    </pic:cNvPicPr>
                  </pic:nvPicPr>
                  <pic:blipFill>
                    <a:blip r:embed="rId7"/>
                    <a:stretch>
                      <a:fillRect/>
                    </a:stretch>
                  </pic:blipFill>
                  <pic:spPr>
                    <a:xfrm rot="16200000">
                      <a:off x="0" y="0"/>
                      <a:ext cx="2697480" cy="533781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eastAsia="宋体"/>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ind w:left="0" w:leftChars="0" w:firstLine="482" w:firstLineChars="200"/>
        <w:textAlignment w:val="auto"/>
        <w:rPr>
          <w:rFonts w:hint="eastAsia" w:eastAsia="宋体"/>
          <w:sz w:val="24"/>
          <w:szCs w:val="24"/>
          <w:lang w:val="en-US" w:eastAsia="zh-CN"/>
        </w:rPr>
      </w:pPr>
      <w:r>
        <w:rPr>
          <w:rFonts w:ascii="宋体" w:hAnsi="宋体" w:eastAsia="宋体" w:cs="宋体"/>
          <w:b/>
          <w:bCs/>
          <w:sz w:val="24"/>
          <w:szCs w:val="24"/>
        </w:rPr>
        <w:t>实验内容</w:t>
      </w:r>
      <w:r>
        <w:rPr>
          <w:rFonts w:ascii="宋体" w:hAnsi="宋体" w:eastAsia="宋体" w:cs="宋体"/>
          <w:b/>
          <w:bCs/>
          <w:sz w:val="24"/>
          <w:szCs w:val="24"/>
        </w:rPr>
        <w:br w:type="textWrapping"/>
      </w:r>
      <w:r>
        <w:rPr>
          <w:rFonts w:ascii="宋体" w:hAnsi="宋体" w:eastAsia="宋体" w:cs="宋体"/>
          <w:sz w:val="24"/>
          <w:szCs w:val="24"/>
        </w:rPr>
        <w:t>被测有源二端网络如图3-4 (a)所示。</w:t>
      </w:r>
      <w:r>
        <w:rPr>
          <w:rFonts w:ascii="宋体" w:hAnsi="宋体" w:eastAsia="宋体" w:cs="宋体"/>
          <w:sz w:val="24"/>
          <w:szCs w:val="24"/>
        </w:rPr>
        <w:br w:type="textWrapping"/>
      </w:r>
      <w:r>
        <w:rPr>
          <w:rFonts w:ascii="宋体" w:hAnsi="宋体" w:eastAsia="宋体" w:cs="宋体"/>
          <w:sz w:val="24"/>
          <w:szCs w:val="24"/>
        </w:rPr>
        <w:t>(1)用开路电压、短路电流法测定戴维南等效电路的Uoc、R。和诺顿等效电路的Isc、R</w:t>
      </w:r>
      <w:r>
        <w:rPr>
          <w:rFonts w:hint="eastAsia" w:ascii="宋体" w:hAnsi="宋体" w:eastAsia="宋体" w:cs="宋体"/>
          <w:sz w:val="24"/>
          <w:szCs w:val="24"/>
          <w:lang w:val="en-US" w:eastAsia="zh-CN"/>
        </w:rPr>
        <w:t>0</w:t>
      </w:r>
      <w:r>
        <w:rPr>
          <w:rFonts w:ascii="宋体" w:hAnsi="宋体" w:eastAsia="宋体" w:cs="宋体"/>
          <w:sz w:val="24"/>
          <w:szCs w:val="24"/>
        </w:rPr>
        <w:t>。按图3-4 (a)接入稳压电源U</w:t>
      </w:r>
      <w:r>
        <w:rPr>
          <w:rFonts w:hint="eastAsia" w:ascii="宋体" w:hAnsi="宋体" w:eastAsia="宋体" w:cs="宋体"/>
          <w:sz w:val="24"/>
          <w:szCs w:val="24"/>
          <w:lang w:val="en-US" w:eastAsia="zh-CN"/>
        </w:rPr>
        <w:t>s</w:t>
      </w:r>
      <w:r>
        <w:rPr>
          <w:rFonts w:ascii="宋体" w:hAnsi="宋体" w:eastAsia="宋体" w:cs="宋体"/>
          <w:sz w:val="24"/>
          <w:szCs w:val="24"/>
        </w:rPr>
        <w:t>=12V和恒流源</w:t>
      </w:r>
      <w:r>
        <w:rPr>
          <w:rFonts w:hint="eastAsia" w:ascii="宋体" w:hAnsi="宋体" w:eastAsia="宋体" w:cs="宋体"/>
          <w:sz w:val="24"/>
          <w:szCs w:val="24"/>
          <w:lang w:val="en-US" w:eastAsia="zh-CN"/>
        </w:rPr>
        <w:t>Is</w:t>
      </w:r>
      <w:r>
        <w:rPr>
          <w:rFonts w:ascii="宋体" w:hAnsi="宋体" w:eastAsia="宋体" w:cs="宋体"/>
          <w:sz w:val="24"/>
          <w:szCs w:val="24"/>
        </w:rPr>
        <w:t>=10mA,不接入R</w:t>
      </w:r>
      <w:r>
        <w:rPr>
          <w:rFonts w:hint="eastAsia" w:ascii="宋体" w:hAnsi="宋体" w:eastAsia="宋体" w:cs="宋体"/>
          <w:sz w:val="24"/>
          <w:szCs w:val="24"/>
          <w:lang w:val="en-US" w:eastAsia="zh-CN"/>
        </w:rPr>
        <w:t>L</w:t>
      </w:r>
      <w:r>
        <w:rPr>
          <w:rFonts w:ascii="宋体" w:hAnsi="宋体" w:eastAsia="宋体" w:cs="宋体"/>
          <w:sz w:val="24"/>
          <w:szCs w:val="24"/>
        </w:rPr>
        <w:t>。测出Uoc和lsc,并计算出R</w:t>
      </w:r>
      <w:r>
        <w:rPr>
          <w:rFonts w:hint="eastAsia" w:ascii="宋体" w:hAnsi="宋体" w:eastAsia="宋体" w:cs="宋体"/>
          <w:sz w:val="24"/>
          <w:szCs w:val="24"/>
          <w:lang w:val="en-US" w:eastAsia="zh-CN"/>
        </w:rPr>
        <w:t>0</w:t>
      </w:r>
      <w:r>
        <w:rPr>
          <w:rFonts w:ascii="宋体" w:hAnsi="宋体" w:eastAsia="宋体" w:cs="宋体"/>
          <w:sz w:val="24"/>
          <w:szCs w:val="24"/>
        </w:rPr>
        <w:t>。(测U</w:t>
      </w:r>
      <w:r>
        <w:rPr>
          <w:rFonts w:hint="eastAsia" w:ascii="宋体" w:hAnsi="宋体" w:eastAsia="宋体" w:cs="宋体"/>
          <w:sz w:val="24"/>
          <w:szCs w:val="24"/>
          <w:lang w:val="en-US" w:eastAsia="zh-CN"/>
        </w:rPr>
        <w:t>oc</w:t>
      </w:r>
      <w:r>
        <w:rPr>
          <w:rFonts w:ascii="宋体" w:hAnsi="宋体" w:eastAsia="宋体" w:cs="宋体"/>
          <w:sz w:val="24"/>
          <w:szCs w:val="24"/>
        </w:rPr>
        <w:t>时,不接入直流数字毫安表),将数据记入表3-2中。</w:t>
      </w:r>
      <w:r>
        <w:rPr>
          <w:rFonts w:hint="eastAsia" w:ascii="宋体" w:hAnsi="宋体" w:eastAsia="宋体" w:cs="宋体"/>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80" w:firstLineChars="200"/>
        <w:textAlignment w:val="auto"/>
        <w:rPr>
          <w:rFonts w:hint="eastAsia" w:eastAsia="宋体"/>
          <w:sz w:val="24"/>
          <w:szCs w:val="24"/>
          <w:lang w:val="en-US" w:eastAsia="zh-CN"/>
        </w:rPr>
      </w:pPr>
      <w:r>
        <w:rPr>
          <w:rFonts w:hint="eastAsia" w:ascii="宋体" w:hAnsi="宋体" w:eastAsia="宋体" w:cs="宋体"/>
          <w:sz w:val="24"/>
          <w:szCs w:val="24"/>
          <w:lang w:val="en-US" w:eastAsia="zh-CN"/>
        </w:rPr>
        <w:t xml:space="preserve">                    表3-2  未接入负载时实验数据                                                                 </w:t>
      </w:r>
    </w:p>
    <w:tbl>
      <w:tblPr>
        <w:tblStyle w:val="4"/>
        <w:tblpPr w:leftFromText="180" w:rightFromText="180" w:vertAnchor="text" w:horzAnchor="page" w:tblpXSpec="center" w:tblpY="121"/>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center"/>
              <w:textAlignment w:val="auto"/>
              <w:rPr>
                <w:rFonts w:hint="default" w:eastAsia="宋体"/>
                <w:sz w:val="24"/>
                <w:szCs w:val="24"/>
                <w:vertAlign w:val="baseline"/>
                <w:lang w:val="en-US" w:eastAsia="zh-CN"/>
              </w:rPr>
            </w:pPr>
            <w:r>
              <w:rPr>
                <w:rFonts w:hint="eastAsia" w:eastAsia="宋体"/>
                <w:sz w:val="24"/>
                <w:szCs w:val="24"/>
                <w:vertAlign w:val="baseline"/>
                <w:lang w:val="en-US" w:eastAsia="zh-CN"/>
              </w:rPr>
              <w:t>Uoc/V</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center"/>
              <w:textAlignment w:val="auto"/>
              <w:rPr>
                <w:rFonts w:hint="default" w:eastAsia="宋体"/>
                <w:sz w:val="24"/>
                <w:szCs w:val="24"/>
                <w:vertAlign w:val="baseline"/>
                <w:lang w:val="en-US" w:eastAsia="zh-CN"/>
              </w:rPr>
            </w:pPr>
            <w:r>
              <w:rPr>
                <w:rFonts w:hint="eastAsia" w:eastAsia="宋体"/>
                <w:sz w:val="24"/>
                <w:szCs w:val="24"/>
                <w:vertAlign w:val="baseline"/>
                <w:lang w:val="en-US" w:eastAsia="zh-CN"/>
              </w:rPr>
              <w:t>Isc/mA</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center"/>
              <w:textAlignment w:val="auto"/>
              <w:rPr>
                <w:rFonts w:hint="default" w:eastAsia="宋体"/>
                <w:sz w:val="24"/>
                <w:szCs w:val="24"/>
                <w:vertAlign w:val="baseline"/>
                <w:lang w:val="en-US" w:eastAsia="zh-CN"/>
              </w:rPr>
            </w:pPr>
            <w:r>
              <w:rPr>
                <w:rFonts w:hint="eastAsia" w:eastAsia="宋体"/>
                <w:sz w:val="24"/>
                <w:szCs w:val="24"/>
                <w:vertAlign w:val="baseline"/>
                <w:lang w:val="en-US" w:eastAsia="zh-CN"/>
              </w:rPr>
              <w:t>R0=(Uoc/Isc)/</w:t>
            </w:r>
            <w:r>
              <w:rPr>
                <w:rFonts w:hint="eastAsia" w:ascii="微软雅黑" w:hAnsi="微软雅黑" w:eastAsia="微软雅黑" w:cs="微软雅黑"/>
                <w:sz w:val="24"/>
                <w:szCs w:val="24"/>
                <w:vertAlign w:val="baseline"/>
                <w:lang w:val="en-US" w:eastAsia="zh-CN"/>
              </w:rPr>
              <w:t>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2" w:hRule="atLeast"/>
          <w:jc w:val="center"/>
        </w:trPr>
        <w:tc>
          <w:tcPr>
            <w:tcW w:w="2840" w:type="dxa"/>
          </w:tcPr>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center"/>
              <w:textAlignment w:val="auto"/>
              <w:rPr>
                <w:rFonts w:hint="default" w:eastAsia="宋体"/>
                <w:sz w:val="24"/>
                <w:szCs w:val="24"/>
                <w:vertAlign w:val="baseline"/>
                <w:lang w:val="en-US" w:eastAsia="zh-CN"/>
              </w:rPr>
            </w:pPr>
            <w:r>
              <w:rPr>
                <w:rFonts w:hint="eastAsia" w:eastAsia="宋体"/>
                <w:sz w:val="24"/>
                <w:szCs w:val="24"/>
                <w:vertAlign w:val="baseline"/>
                <w:lang w:val="en-US" w:eastAsia="zh-CN"/>
              </w:rPr>
              <w:t>16.997</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center"/>
              <w:textAlignment w:val="auto"/>
              <w:rPr>
                <w:rFonts w:hint="default" w:eastAsia="宋体"/>
                <w:sz w:val="24"/>
                <w:szCs w:val="24"/>
                <w:vertAlign w:val="baseline"/>
                <w:lang w:val="en-US" w:eastAsia="zh-CN"/>
              </w:rPr>
            </w:pPr>
            <w:r>
              <w:rPr>
                <w:rFonts w:hint="eastAsia" w:eastAsia="宋体"/>
                <w:sz w:val="24"/>
                <w:szCs w:val="24"/>
                <w:vertAlign w:val="baseline"/>
                <w:lang w:val="en-US" w:eastAsia="zh-CN"/>
              </w:rPr>
              <w:t>33</w:t>
            </w:r>
          </w:p>
        </w:tc>
        <w:tc>
          <w:tcPr>
            <w:tcW w:w="2841" w:type="dxa"/>
          </w:tcPr>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center"/>
              <w:textAlignment w:val="auto"/>
              <w:rPr>
                <w:rFonts w:hint="default" w:eastAsia="宋体"/>
                <w:sz w:val="24"/>
                <w:szCs w:val="24"/>
                <w:vertAlign w:val="baseline"/>
                <w:lang w:val="en-US" w:eastAsia="zh-CN"/>
              </w:rPr>
            </w:pPr>
            <w:r>
              <w:rPr>
                <w:rFonts w:hint="eastAsia" w:eastAsia="宋体"/>
                <w:sz w:val="24"/>
                <w:szCs w:val="24"/>
                <w:vertAlign w:val="baseline"/>
                <w:lang w:val="en-US" w:eastAsia="zh-CN"/>
              </w:rPr>
              <w:t>515</w:t>
            </w:r>
          </w:p>
        </w:tc>
      </w:tr>
    </w:tbl>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eastAsia="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eastAsia="宋体"/>
          <w:sz w:val="24"/>
          <w:szCs w:val="24"/>
          <w:lang w:val="en-US" w:eastAsia="zh-CN"/>
        </w:rPr>
      </w:pPr>
      <w:r>
        <w:rPr>
          <w:rFonts w:hint="eastAsia" w:eastAsia="宋体"/>
          <w:sz w:val="24"/>
          <w:szCs w:val="24"/>
          <w:lang w:val="en-US" w:eastAsia="zh-CN"/>
        </w:rPr>
        <w:drawing>
          <wp:inline distT="0" distB="0" distL="114300" distR="114300">
            <wp:extent cx="3060700" cy="5334000"/>
            <wp:effectExtent l="0" t="0" r="0" b="2540"/>
            <wp:docPr id="5" name="图片 5" descr="04D3A87CEC2AA4274A205E42905666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4D3A87CEC2AA4274A205E42905666C8"/>
                    <pic:cNvPicPr>
                      <a:picLocks noChangeAspect="1"/>
                    </pic:cNvPicPr>
                  </pic:nvPicPr>
                  <pic:blipFill>
                    <a:blip r:embed="rId8"/>
                    <a:stretch>
                      <a:fillRect/>
                    </a:stretch>
                  </pic:blipFill>
                  <pic:spPr>
                    <a:xfrm rot="16200000">
                      <a:off x="0" y="0"/>
                      <a:ext cx="3060700" cy="53340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sz w:val="24"/>
          <w:szCs w:val="24"/>
        </w:rPr>
        <w:t>(2)负载实验。按图3-4(a)接入R。改变R,阻值,测量有源二端网络的外特性曲线,将数据记入表3-3中。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表3-3 接入负载时实验数据</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ascii="宋体" w:hAnsi="宋体" w:eastAsia="宋体" w:cs="宋体"/>
          <w:sz w:val="24"/>
          <w:szCs w:val="24"/>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U/V</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4.722</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7.391</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9.107</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10.302</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11.183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I/mA</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24</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18</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15</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13</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11</w:t>
            </w:r>
          </w:p>
        </w:tc>
      </w:tr>
    </w:tbl>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pPr>
      <w:r>
        <w:drawing>
          <wp:inline distT="0" distB="0" distL="114300" distR="114300">
            <wp:extent cx="4572000" cy="2758440"/>
            <wp:effectExtent l="4445" t="4445" r="10795" b="10795"/>
            <wp:docPr id="14"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pPr>
      <w:r>
        <w:drawing>
          <wp:inline distT="0" distB="0" distL="114300" distR="114300">
            <wp:extent cx="5269230" cy="2412365"/>
            <wp:effectExtent l="0" t="0" r="3810"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5269230" cy="2412365"/>
                    </a:xfrm>
                    <a:prstGeom prst="rect">
                      <a:avLst/>
                    </a:prstGeom>
                    <a:noFill/>
                    <a:ln>
                      <a:noFill/>
                    </a:ln>
                  </pic:spPr>
                </pic:pic>
              </a:graphicData>
            </a:graphic>
          </wp:inline>
        </w:drawing>
      </w:r>
    </w:p>
    <w:p>
      <w:pPr>
        <w:keepNext w:val="0"/>
        <w:keepLines w:val="0"/>
        <w:pageBreakBefore w:val="0"/>
        <w:widowControl w:val="0"/>
        <w:numPr>
          <w:ilvl w:val="0"/>
          <w:numId w:val="2"/>
        </w:numPr>
        <w:kinsoku/>
        <w:wordWrap/>
        <w:overflowPunct/>
        <w:topLinePunct w:val="0"/>
        <w:autoSpaceDE/>
        <w:autoSpaceDN/>
        <w:bidi w:val="0"/>
        <w:adjustRightInd/>
        <w:snapToGrid/>
        <w:ind w:left="0" w:leftChars="0" w:firstLine="0" w:firstLineChars="0"/>
        <w:jc w:val="both"/>
        <w:textAlignment w:val="auto"/>
        <w:rPr>
          <w:rFonts w:ascii="宋体" w:hAnsi="宋体" w:eastAsia="宋体" w:cs="宋体"/>
          <w:sz w:val="24"/>
          <w:szCs w:val="24"/>
        </w:rPr>
      </w:pPr>
      <w:r>
        <w:rPr>
          <w:rFonts w:ascii="宋体" w:hAnsi="宋体" w:eastAsia="宋体" w:cs="宋体"/>
          <w:sz w:val="24"/>
          <w:szCs w:val="24"/>
        </w:rPr>
        <w:t>验证戴维南定理:从电阻箱上取得按实验内容(1)所得的等效电阻R。</w:t>
      </w:r>
      <w:r>
        <w:rPr>
          <w:rFonts w:ascii="宋体" w:hAnsi="宋体" w:eastAsia="宋体" w:cs="宋体"/>
          <w:sz w:val="24"/>
          <w:szCs w:val="24"/>
        </w:rPr>
        <w:br w:type="textWrapping"/>
      </w:r>
      <w:r>
        <w:rPr>
          <w:rFonts w:ascii="宋体" w:hAnsi="宋体" w:eastAsia="宋体" w:cs="宋体"/>
          <w:sz w:val="24"/>
          <w:szCs w:val="24"/>
        </w:rPr>
        <w:t>之值,然后令其与直流稳压电源(调到实验内容(1)所测得的开路电压U</w:t>
      </w:r>
      <w:r>
        <w:rPr>
          <w:rFonts w:hint="eastAsia" w:ascii="宋体" w:hAnsi="宋体" w:eastAsia="宋体" w:cs="宋体"/>
          <w:sz w:val="24"/>
          <w:szCs w:val="24"/>
          <w:lang w:val="en-US" w:eastAsia="zh-CN"/>
        </w:rPr>
        <w:t>o</w:t>
      </w:r>
      <w:r>
        <w:rPr>
          <w:rFonts w:ascii="宋体" w:hAnsi="宋体" w:eastAsia="宋体" w:cs="宋体"/>
          <w:sz w:val="24"/>
          <w:szCs w:val="24"/>
        </w:rPr>
        <w:t>c之值</w:t>
      </w:r>
      <w:r>
        <w:rPr>
          <w:rFonts w:hint="eastAsia" w:ascii="宋体" w:hAnsi="宋体" w:eastAsia="宋体" w:cs="宋体"/>
          <w:sz w:val="24"/>
          <w:szCs w:val="24"/>
          <w:lang w:val="en-US" w:eastAsia="zh-CN"/>
        </w:rPr>
        <w:t>)</w:t>
      </w:r>
      <w:r>
        <w:rPr>
          <w:rFonts w:ascii="宋体" w:hAnsi="宋体" w:eastAsia="宋体" w:cs="宋体"/>
          <w:sz w:val="24"/>
          <w:szCs w:val="24"/>
        </w:rPr>
        <w:t>相串联,如图3-4 (b)所示,仿照实验内容(2)测其外特性,对戴维南定理进行验证,将数据记入表3-4中。</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ascii="宋体" w:hAnsi="宋体" w:eastAsia="宋体" w:cs="宋体"/>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ind w:firstLine="720" w:firstLineChars="300"/>
        <w:jc w:val="center"/>
        <w:textAlignment w:val="auto"/>
        <w:rPr>
          <w:rFonts w:ascii="宋体" w:hAnsi="宋体" w:eastAsia="宋体" w:cs="宋体"/>
          <w:sz w:val="24"/>
          <w:szCs w:val="24"/>
        </w:rPr>
      </w:pPr>
      <w:r>
        <w:rPr>
          <w:rFonts w:ascii="宋体" w:hAnsi="宋体" w:eastAsia="宋体" w:cs="宋体"/>
          <w:sz w:val="24"/>
          <w:szCs w:val="24"/>
        </w:rPr>
        <w:t>表3-4 戴维南等效后实验数据</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U/V</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4.754</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7.43</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9.146</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10.34</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11.219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I/mA</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24</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19</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15</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13</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11</w:t>
            </w:r>
          </w:p>
        </w:tc>
      </w:tr>
    </w:tbl>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pPr>
      <w:r>
        <w:drawing>
          <wp:inline distT="0" distB="0" distL="114300" distR="114300">
            <wp:extent cx="4572000" cy="2758440"/>
            <wp:effectExtent l="4445" t="4445" r="10795" b="10795"/>
            <wp:docPr id="15"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lang w:val="en-US" w:eastAsia="zh-CN"/>
        </w:rPr>
      </w:pPr>
      <w:r>
        <w:drawing>
          <wp:inline distT="0" distB="0" distL="114300" distR="114300">
            <wp:extent cx="5029200" cy="3916680"/>
            <wp:effectExtent l="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2"/>
                    <a:stretch>
                      <a:fillRect/>
                    </a:stretch>
                  </pic:blipFill>
                  <pic:spPr>
                    <a:xfrm>
                      <a:off x="0" y="0"/>
                      <a:ext cx="5029200" cy="391668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2"/>
        </w:numPr>
        <w:tabs>
          <w:tab w:val="clear" w:pos="312"/>
        </w:tabs>
        <w:kinsoku/>
        <w:wordWrap/>
        <w:overflowPunct/>
        <w:topLinePunct w:val="0"/>
        <w:autoSpaceDE/>
        <w:autoSpaceDN/>
        <w:bidi w:val="0"/>
        <w:adjustRightInd/>
        <w:snapToGrid/>
        <w:ind w:left="0" w:leftChars="0" w:firstLine="0" w:firstLineChars="0"/>
        <w:jc w:val="both"/>
        <w:textAlignment w:val="auto"/>
        <w:rPr>
          <w:rFonts w:ascii="宋体" w:hAnsi="宋体" w:eastAsia="宋体" w:cs="宋体"/>
          <w:sz w:val="24"/>
          <w:szCs w:val="24"/>
        </w:rPr>
      </w:pPr>
      <w:r>
        <w:rPr>
          <w:rFonts w:ascii="宋体" w:hAnsi="宋体" w:eastAsia="宋体" w:cs="宋体"/>
          <w:sz w:val="24"/>
          <w:szCs w:val="24"/>
        </w:rPr>
        <w:t>验证诺顿定理:从电阻箱上取得实验内容(1)所得的等效电阻R。之值,然后令其与直流恒流源(调到实验内容(1)所测得的短路电流Isc之值)相并联,如图3-5所示,仿照实验内容(2)测其外特性,对诺顿定理进行验证,将数据记入表3-5中。</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2420620" cy="3860165"/>
            <wp:effectExtent l="0" t="0" r="10795" b="2540"/>
            <wp:docPr id="6" name="图片 6" descr="A1A64DAF768F63BEB56F94FC0FB04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1A64DAF768F63BEB56F94FC0FB04048"/>
                    <pic:cNvPicPr>
                      <a:picLocks noChangeAspect="1"/>
                    </pic:cNvPicPr>
                  </pic:nvPicPr>
                  <pic:blipFill>
                    <a:blip r:embed="rId13"/>
                    <a:stretch>
                      <a:fillRect/>
                    </a:stretch>
                  </pic:blipFill>
                  <pic:spPr>
                    <a:xfrm rot="16200000">
                      <a:off x="0" y="0"/>
                      <a:ext cx="2420620" cy="386016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ascii="宋体" w:hAnsi="宋体" w:eastAsia="宋体" w:cs="宋体"/>
          <w:sz w:val="24"/>
          <w:szCs w:val="24"/>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U/A</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4.754</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7.429</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9.145</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10.339</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11.217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I/mA</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24</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19</w:t>
            </w:r>
          </w:p>
        </w:tc>
        <w:tc>
          <w:tcPr>
            <w:tcW w:w="1420" w:type="dxa"/>
          </w:tcPr>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15</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13</w:t>
            </w:r>
          </w:p>
        </w:tc>
        <w:tc>
          <w:tcPr>
            <w:tcW w:w="1421" w:type="dxa"/>
          </w:tcPr>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default"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11</w:t>
            </w:r>
          </w:p>
        </w:tc>
      </w:tr>
    </w:tbl>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sz w:val="24"/>
          <w:szCs w:val="24"/>
          <w:lang w:val="en-US" w:eastAsia="zh-CN"/>
        </w:rPr>
      </w:pPr>
      <w:r>
        <w:drawing>
          <wp:inline distT="0" distB="0" distL="114300" distR="114300">
            <wp:extent cx="4572000" cy="2758440"/>
            <wp:effectExtent l="4445" t="4445" r="10795" b="10795"/>
            <wp:docPr id="16"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jc w:val="both"/>
        <w:textAlignment w:val="auto"/>
        <w:rPr>
          <w:rFonts w:hint="eastAsia" w:ascii="宋体" w:hAnsi="宋体" w:eastAsia="宋体" w:cs="宋体"/>
          <w:sz w:val="24"/>
          <w:szCs w:val="24"/>
          <w:lang w:val="en-US" w:eastAsia="zh-CN"/>
        </w:rPr>
      </w:pPr>
      <w:bookmarkStart w:id="0" w:name="_GoBack"/>
      <w:r>
        <w:drawing>
          <wp:inline distT="0" distB="0" distL="114300" distR="114300">
            <wp:extent cx="4177665" cy="2472055"/>
            <wp:effectExtent l="0" t="0" r="13335" b="1206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5"/>
                    <a:stretch>
                      <a:fillRect/>
                    </a:stretch>
                  </pic:blipFill>
                  <pic:spPr>
                    <a:xfrm>
                      <a:off x="0" y="0"/>
                      <a:ext cx="4177665" cy="2472055"/>
                    </a:xfrm>
                    <a:prstGeom prst="rect">
                      <a:avLst/>
                    </a:prstGeom>
                    <a:noFill/>
                    <a:ln>
                      <a:noFill/>
                    </a:ln>
                  </pic:spPr>
                </pic:pic>
              </a:graphicData>
            </a:graphic>
          </wp:inline>
        </w:drawing>
      </w:r>
      <w:bookmarkEnd w:id="0"/>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both"/>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2"/>
        </w:numPr>
        <w:tabs>
          <w:tab w:val="clear" w:pos="312"/>
        </w:tabs>
        <w:kinsoku/>
        <w:wordWrap/>
        <w:overflowPunct/>
        <w:topLinePunct w:val="0"/>
        <w:autoSpaceDE/>
        <w:autoSpaceDN/>
        <w:bidi w:val="0"/>
        <w:adjustRightInd/>
        <w:snapToGrid/>
        <w:spacing w:after="240" w:afterAutospacing="0"/>
        <w:ind w:left="0" w:leftChars="0" w:firstLine="0" w:firstLineChars="0"/>
        <w:jc w:val="both"/>
        <w:textAlignment w:val="auto"/>
        <w:rPr>
          <w:sz w:val="24"/>
          <w:szCs w:val="24"/>
        </w:rPr>
      </w:pPr>
      <w:r>
        <w:rPr>
          <w:rFonts w:ascii="宋体" w:hAnsi="宋体" w:eastAsia="宋体" w:cs="宋体"/>
          <w:sz w:val="24"/>
          <w:szCs w:val="24"/>
        </w:rPr>
        <w:t>有源二端网络等效电阻(又称入端电阻)的直接测量法。如图3-4 (a)所示。将被测有源网络内的所有独立源置零(去掉电流源I,和电压源U,,并把原电压源所接的两点用一根短路导线相连),然后用伏安法或者直接用万用电表的欧姆挡去测定负载R,开路时A、B两点间的电阻,即为被测网络的等效内阻R。,或称网络的入端电阻R。</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(6)用半电压法和零示法测量被测网络的等效内阻R及其开路电压Uoc。</w:t>
      </w:r>
      <w:r>
        <w:rPr>
          <w:rFonts w:ascii="宋体" w:hAnsi="宋体" w:eastAsia="宋体" w:cs="宋体"/>
          <w:sz w:val="24"/>
          <w:szCs w:val="24"/>
        </w:rPr>
        <w:br w:type="textWrapping"/>
      </w:r>
      <w:r>
        <w:rPr>
          <w:rFonts w:ascii="宋体" w:hAnsi="宋体" w:eastAsia="宋体" w:cs="宋体"/>
          <w:sz w:val="24"/>
          <w:szCs w:val="24"/>
        </w:rPr>
        <w:t>线路及数据表自拟。</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五、实验注意事项</w:t>
      </w:r>
      <w:r>
        <w:rPr>
          <w:rFonts w:ascii="宋体" w:hAnsi="宋体" w:eastAsia="宋体" w:cs="宋体"/>
          <w:b/>
          <w:bCs/>
          <w:sz w:val="24"/>
          <w:szCs w:val="24"/>
        </w:rPr>
        <w:br w:type="textWrapping"/>
      </w:r>
      <w:r>
        <w:rPr>
          <w:rFonts w:ascii="宋体" w:hAnsi="宋体" w:eastAsia="宋体" w:cs="宋体"/>
          <w:sz w:val="24"/>
          <w:szCs w:val="24"/>
        </w:rPr>
        <w:t>(1)测量时应注意电流表量程的更换。</w:t>
      </w:r>
      <w:r>
        <w:rPr>
          <w:rFonts w:ascii="宋体" w:hAnsi="宋体" w:eastAsia="宋体" w:cs="宋体"/>
          <w:sz w:val="24"/>
          <w:szCs w:val="24"/>
        </w:rPr>
        <w:br w:type="textWrapping"/>
      </w:r>
      <w:r>
        <w:rPr>
          <w:rFonts w:ascii="宋体" w:hAnsi="宋体" w:eastAsia="宋体" w:cs="宋体"/>
          <w:sz w:val="24"/>
          <w:szCs w:val="24"/>
        </w:rPr>
        <w:t>(2)实验内容(5)中,电压源置零时不可将稳压源短接。</w:t>
      </w:r>
      <w:r>
        <w:rPr>
          <w:rFonts w:ascii="宋体" w:hAnsi="宋体" w:eastAsia="宋体" w:cs="宋体"/>
          <w:sz w:val="24"/>
          <w:szCs w:val="24"/>
        </w:rPr>
        <w:br w:type="textWrapping"/>
      </w:r>
      <w:r>
        <w:rPr>
          <w:rFonts w:ascii="宋体" w:hAnsi="宋体" w:eastAsia="宋体" w:cs="宋体"/>
          <w:sz w:val="24"/>
          <w:szCs w:val="24"/>
        </w:rPr>
        <w:t>(3)用万用电表直接测R时,网络内的独立源必须先置零,以免损坏万用电表。并且,欧姆挡必须经调零后再进行测量。</w:t>
      </w:r>
      <w:r>
        <w:rPr>
          <w:rFonts w:ascii="宋体" w:hAnsi="宋体" w:eastAsia="宋体" w:cs="宋体"/>
          <w:sz w:val="24"/>
          <w:szCs w:val="24"/>
        </w:rPr>
        <w:br w:type="textWrapping"/>
      </w:r>
      <w:r>
        <w:rPr>
          <w:rFonts w:ascii="宋体" w:hAnsi="宋体" w:eastAsia="宋体" w:cs="宋体"/>
          <w:sz w:val="24"/>
          <w:szCs w:val="24"/>
        </w:rPr>
        <w:t>(4)用零示法测量Uoc时,应先将稳压电源的输出调节接近于Uoc,再按</w:t>
      </w:r>
      <w:r>
        <w:rPr>
          <w:rFonts w:ascii="宋体" w:hAnsi="宋体" w:eastAsia="宋体" w:cs="宋体"/>
          <w:sz w:val="24"/>
          <w:szCs w:val="24"/>
        </w:rPr>
        <w:br w:type="textWrapping"/>
      </w:r>
      <w:r>
        <w:rPr>
          <w:rFonts w:ascii="宋体" w:hAnsi="宋体" w:eastAsia="宋体" w:cs="宋体"/>
          <w:sz w:val="24"/>
          <w:szCs w:val="24"/>
        </w:rPr>
        <w:t>(5)改接线路时,要关掉电源。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六、思考题</w:t>
      </w:r>
      <w:r>
        <w:rPr>
          <w:rFonts w:ascii="宋体" w:hAnsi="宋体" w:eastAsia="宋体" w:cs="宋体"/>
          <w:b/>
          <w:bCs/>
          <w:sz w:val="24"/>
          <w:szCs w:val="24"/>
        </w:rPr>
        <w:br w:type="textWrapping"/>
      </w:r>
      <w:r>
        <w:rPr>
          <w:sz w:val="24"/>
          <w:szCs w:val="24"/>
        </w:rPr>
        <w:t>1.根据实验内容(2)、(3)、(4),分别绘制曲线,验证戴维南定理和诺顿定理的正确性,并分析产生误差的原因。</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eastAsia="zh-CN"/>
        </w:rPr>
      </w:pPr>
      <w:r>
        <w:rPr>
          <w:rFonts w:hint="eastAsia"/>
          <w:sz w:val="24"/>
          <w:szCs w:val="24"/>
          <w:lang w:val="en-US" w:eastAsia="zh-CN"/>
        </w:rPr>
        <w:t>由曲线可知，三条线的截距和斜率都在误差范围内，可以验证</w:t>
      </w:r>
      <w:r>
        <w:rPr>
          <w:sz w:val="24"/>
          <w:szCs w:val="24"/>
        </w:rPr>
        <w:t>戴维南定理和诺顿定理的正确性</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eastAsia="zh-CN"/>
        </w:rPr>
      </w:pPr>
      <w:r>
        <w:rPr>
          <w:rFonts w:hint="eastAsia"/>
          <w:position w:val="-156"/>
          <w:sz w:val="24"/>
          <w:szCs w:val="24"/>
          <w:lang w:eastAsia="zh-CN"/>
        </w:rPr>
        <w:object>
          <v:shape id="_x0000_i1025" o:spt="75" type="#_x0000_t75" style="height:163pt;width:164pt;" o:ole="t" filled="f" o:preferrelative="t" stroked="f" coordsize="21600,21600">
            <v:path/>
            <v:fill on="f" focussize="0,0"/>
            <v:stroke on="f"/>
            <v:imagedata r:id="rId17" o:title=""/>
            <o:lock v:ext="edit" aspectratio="t"/>
            <w10:wrap type="none"/>
            <w10:anchorlock/>
          </v:shape>
          <o:OLEObject Type="Embed" ProgID="Equation.KSEE3" ShapeID="_x0000_i1025" DrawAspect="Content" ObjectID="_1468075725" r:id="rId16">
            <o:LockedField>false</o:LockedField>
          </o:OLEObject>
        </w:objec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szCs w:val="24"/>
        </w:rPr>
      </w:pPr>
      <w:r>
        <w:rPr>
          <w:rFonts w:hint="eastAsia"/>
          <w:sz w:val="24"/>
          <w:szCs w:val="24"/>
          <w:lang w:eastAsia="zh-CN"/>
        </w:rPr>
        <w:t>首先所用的仪器有误差，如试验箱的电压源电流源都是有内阻的，试验箱提供的电阻也有</w:t>
      </w:r>
      <w:r>
        <w:rPr>
          <w:rFonts w:hint="eastAsia"/>
          <w:position w:val="-156"/>
          <w:sz w:val="24"/>
          <w:szCs w:val="24"/>
          <w:lang w:eastAsia="zh-CN"/>
        </w:rPr>
        <w:t>误</w:t>
      </w:r>
      <w:r>
        <w:rPr>
          <w:rFonts w:hint="eastAsia"/>
          <w:sz w:val="24"/>
          <w:szCs w:val="24"/>
          <w:lang w:eastAsia="zh-CN"/>
        </w:rPr>
        <w:t>差，电路连接时节点可能会有电阻，还有测量时电压表的内接外接也会有影响。这个由于电路元件中肯定会存在无法消除的原理误差，还有温度、压强等不可控的外界因素，等效变换后当然误差是难以避免的，属于非人为的原理误差。</w:t>
      </w:r>
      <w:r>
        <w:rPr>
          <w:sz w:val="24"/>
          <w:szCs w:val="24"/>
        </w:rPr>
        <w:br w:type="textWrapping"/>
      </w:r>
      <w:r>
        <w:rPr>
          <w:sz w:val="24"/>
          <w:szCs w:val="24"/>
        </w:rPr>
        <w:br w:type="textWrapping"/>
      </w:r>
      <w:r>
        <w:rPr>
          <w:rFonts w:hint="eastAsia"/>
          <w:sz w:val="24"/>
          <w:szCs w:val="24"/>
          <w:lang w:val="en-US" w:eastAsia="zh-CN"/>
        </w:rPr>
        <w:t>2</w:t>
      </w:r>
      <w:r>
        <w:rPr>
          <w:sz w:val="24"/>
          <w:szCs w:val="24"/>
        </w:rPr>
        <w:t>.归纳、总结实验结果。</w:t>
      </w:r>
    </w:p>
    <w:p>
      <w:pPr>
        <w:keepNext w:val="0"/>
        <w:keepLines w:val="0"/>
        <w:pageBreakBefore w:val="0"/>
        <w:widowControl w:val="0"/>
        <w:kinsoku/>
        <w:wordWrap/>
        <w:overflowPunct/>
        <w:topLinePunct w:val="0"/>
        <w:autoSpaceDE/>
        <w:autoSpaceDN/>
        <w:bidi w:val="0"/>
        <w:adjustRightInd/>
        <w:snapToGrid/>
        <w:ind w:firstLine="240" w:firstLineChars="100"/>
        <w:textAlignment w:val="auto"/>
        <w:rPr>
          <w:rFonts w:hint="eastAsia"/>
          <w:sz w:val="24"/>
          <w:szCs w:val="24"/>
          <w:lang w:val="en-US" w:eastAsia="zh-CN"/>
        </w:rPr>
      </w:pPr>
      <w:r>
        <w:rPr>
          <w:rFonts w:hint="eastAsia"/>
          <w:sz w:val="24"/>
          <w:szCs w:val="24"/>
          <w:lang w:val="en-US" w:eastAsia="zh-CN"/>
        </w:rPr>
        <w:t>戴维南，诺顿等效后的实验结果与原来值的误差在范围内，可以得出所有的电路都可以用戴维南和诺顿进行等效变换。</w:t>
      </w:r>
      <w:r>
        <w:rPr>
          <w:sz w:val="24"/>
          <w:szCs w:val="24"/>
        </w:rPr>
        <w:br w:type="textWrapping"/>
      </w:r>
      <w:r>
        <w:rPr>
          <w:rFonts w:hint="eastAsia"/>
          <w:sz w:val="24"/>
          <w:szCs w:val="24"/>
          <w:lang w:val="en-US" w:eastAsia="zh-CN"/>
        </w:rPr>
        <w:t>3</w:t>
      </w:r>
      <w:r>
        <w:rPr>
          <w:sz w:val="24"/>
          <w:szCs w:val="24"/>
        </w:rPr>
        <w:t>.总结心得体会及其他。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6E21661"/>
    <w:multiLevelType w:val="singleLevel"/>
    <w:tmpl w:val="A6E21661"/>
    <w:lvl w:ilvl="0" w:tentative="0">
      <w:start w:val="3"/>
      <w:numFmt w:val="chineseCounting"/>
      <w:suff w:val="nothing"/>
      <w:lvlText w:val="%1、"/>
      <w:lvlJc w:val="left"/>
      <w:rPr>
        <w:rFonts w:hint="eastAsia"/>
      </w:rPr>
    </w:lvl>
  </w:abstractNum>
  <w:abstractNum w:abstractNumId="1">
    <w:nsid w:val="FF069EFF"/>
    <w:multiLevelType w:val="singleLevel"/>
    <w:tmpl w:val="FF069EFF"/>
    <w:lvl w:ilvl="0" w:tentative="0">
      <w:start w:val="3"/>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dmNmY0NDBhZTNjYmJmZThhYTE4NDYzMjk0NTc2YjMifQ=="/>
  </w:docVars>
  <w:rsids>
    <w:rsidRoot w:val="00000000"/>
    <w:rsid w:val="01EB7DFB"/>
    <w:rsid w:val="25F960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hart" Target="charts/chart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0.wmf"/><Relationship Id="rId16" Type="http://schemas.openxmlformats.org/officeDocument/2006/relationships/oleObject" Target="embeddings/oleObject1.bin"/><Relationship Id="rId15" Type="http://schemas.openxmlformats.org/officeDocument/2006/relationships/image" Target="media/image9.png"/><Relationship Id="rId14" Type="http://schemas.openxmlformats.org/officeDocument/2006/relationships/chart" Target="charts/chart3.xml"/><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chart" Target="charts/chart2.xml"/><Relationship Id="rId10" Type="http://schemas.openxmlformats.org/officeDocument/2006/relationships/image" Target="media/image6.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24037;&#20316;&#31807;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24037;&#20316;&#31807;1"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24037;&#20316;&#31807;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负载实验数据</a:t>
            </a:r>
          </a:p>
        </c:rich>
      </c:tx>
      <c:layout/>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1"/>
            <c:trendlineLbl>
              <c:layout/>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trendlineLbl>
          </c:trendline>
          <c:xVal>
            <c:numRef>
              <c:f>[工作簿1]Sheet1!$A$8:$E$8</c:f>
              <c:numCache>
                <c:formatCode>General</c:formatCode>
                <c:ptCount val="5"/>
                <c:pt idx="0">
                  <c:v>24</c:v>
                </c:pt>
                <c:pt idx="1">
                  <c:v>18</c:v>
                </c:pt>
                <c:pt idx="2">
                  <c:v>15</c:v>
                </c:pt>
                <c:pt idx="3">
                  <c:v>13</c:v>
                </c:pt>
                <c:pt idx="4">
                  <c:v>11</c:v>
                </c:pt>
              </c:numCache>
            </c:numRef>
          </c:xVal>
          <c:yVal>
            <c:numRef>
              <c:f>[工作簿1]Sheet1!$A$9:$E$9</c:f>
              <c:numCache>
                <c:formatCode>General</c:formatCode>
                <c:ptCount val="5"/>
                <c:pt idx="0">
                  <c:v>4.722</c:v>
                </c:pt>
                <c:pt idx="1">
                  <c:v>7.391</c:v>
                </c:pt>
                <c:pt idx="2">
                  <c:v>9.107</c:v>
                </c:pt>
                <c:pt idx="3">
                  <c:v>10.302</c:v>
                </c:pt>
                <c:pt idx="4">
                  <c:v>11.183</c:v>
                </c:pt>
              </c:numCache>
            </c:numRef>
          </c:yVal>
          <c:smooth val="1"/>
        </c:ser>
        <c:dLbls>
          <c:showLegendKey val="0"/>
          <c:showVal val="0"/>
          <c:showCatName val="0"/>
          <c:showSerName val="0"/>
          <c:showPercent val="0"/>
          <c:showBubbleSize val="0"/>
        </c:dLbls>
        <c:axId val="685856523"/>
        <c:axId val="18614485"/>
      </c:scatterChart>
      <c:valAx>
        <c:axId val="685856523"/>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8614485"/>
        <c:crosses val="autoZero"/>
        <c:crossBetween val="midCat"/>
      </c:valAx>
      <c:valAx>
        <c:axId val="1861448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8585652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戴维南等效后的实验数据</a:t>
            </a:r>
          </a:p>
        </c:rich>
      </c:tx>
      <c:layout>
        <c:manualLayout>
          <c:xMode val="edge"/>
          <c:yMode val="edge"/>
          <c:x val="0.269444444444444"/>
          <c:y val="0.038915913829048"/>
        </c:manualLayout>
      </c:layout>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trendline>
            <c:spPr>
              <a:ln w="19050" cap="rnd">
                <a:solidFill>
                  <a:schemeClr val="accent1"/>
                </a:solidFill>
                <a:prstDash val="sysDot"/>
              </a:ln>
              <a:effectLst/>
            </c:spPr>
            <c:trendlineType val="linear"/>
            <c:dispRSqr val="0"/>
            <c:dispEq val="1"/>
            <c:trendlineLbl>
              <c:layout/>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trendlineLbl>
          </c:trendline>
          <c:xVal>
            <c:numRef>
              <c:f>[工作簿1]Sheet1!$A$11:$E$11</c:f>
              <c:numCache>
                <c:formatCode>General</c:formatCode>
                <c:ptCount val="5"/>
                <c:pt idx="0">
                  <c:v>24</c:v>
                </c:pt>
                <c:pt idx="1">
                  <c:v>19</c:v>
                </c:pt>
                <c:pt idx="2">
                  <c:v>15</c:v>
                </c:pt>
                <c:pt idx="3">
                  <c:v>13</c:v>
                </c:pt>
                <c:pt idx="4">
                  <c:v>11</c:v>
                </c:pt>
              </c:numCache>
            </c:numRef>
          </c:xVal>
          <c:yVal>
            <c:numRef>
              <c:f>[工作簿1]Sheet1!$A$12:$E$12</c:f>
              <c:numCache>
                <c:formatCode>General</c:formatCode>
                <c:ptCount val="5"/>
                <c:pt idx="0">
                  <c:v>4.754</c:v>
                </c:pt>
                <c:pt idx="1">
                  <c:v>7.43</c:v>
                </c:pt>
                <c:pt idx="2">
                  <c:v>9.146</c:v>
                </c:pt>
                <c:pt idx="3">
                  <c:v>10.34</c:v>
                </c:pt>
                <c:pt idx="4">
                  <c:v>11.219</c:v>
                </c:pt>
              </c:numCache>
            </c:numRef>
          </c:yVal>
          <c:smooth val="1"/>
        </c:ser>
        <c:dLbls>
          <c:showLegendKey val="0"/>
          <c:showVal val="0"/>
          <c:showCatName val="0"/>
          <c:showSerName val="0"/>
          <c:showPercent val="0"/>
          <c:showBubbleSize val="0"/>
        </c:dLbls>
        <c:axId val="557112045"/>
        <c:axId val="618601878"/>
      </c:scatterChart>
      <c:valAx>
        <c:axId val="55711204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18601878"/>
        <c:crosses val="autoZero"/>
        <c:crossBetween val="midCat"/>
      </c:valAx>
      <c:valAx>
        <c:axId val="61860187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5711204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诺顿等效后的实验数据</a:t>
            </a:r>
          </a:p>
        </c:rich>
      </c:tx>
      <c:layout/>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trendline>
            <c:spPr>
              <a:ln w="19050" cap="rnd">
                <a:solidFill>
                  <a:schemeClr val="accent1"/>
                </a:solidFill>
                <a:prstDash val="sysDot"/>
              </a:ln>
              <a:effectLst/>
            </c:spPr>
            <c:trendlineType val="linear"/>
            <c:dispRSqr val="0"/>
            <c:dispEq val="1"/>
            <c:trendlineLbl>
              <c:layout/>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trendlineLbl>
          </c:trendline>
          <c:xVal>
            <c:numRef>
              <c:f>[工作簿1]Sheet1!$A$14:$E$14</c:f>
              <c:numCache>
                <c:formatCode>General</c:formatCode>
                <c:ptCount val="5"/>
                <c:pt idx="0">
                  <c:v>24</c:v>
                </c:pt>
                <c:pt idx="1">
                  <c:v>19</c:v>
                </c:pt>
                <c:pt idx="2">
                  <c:v>15</c:v>
                </c:pt>
                <c:pt idx="3">
                  <c:v>13</c:v>
                </c:pt>
                <c:pt idx="4">
                  <c:v>11</c:v>
                </c:pt>
              </c:numCache>
            </c:numRef>
          </c:xVal>
          <c:yVal>
            <c:numRef>
              <c:f>[工作簿1]Sheet1!$A$15:$E$15</c:f>
              <c:numCache>
                <c:formatCode>General</c:formatCode>
                <c:ptCount val="5"/>
                <c:pt idx="0">
                  <c:v>4.754</c:v>
                </c:pt>
                <c:pt idx="1">
                  <c:v>7.429</c:v>
                </c:pt>
                <c:pt idx="2">
                  <c:v>9.145</c:v>
                </c:pt>
                <c:pt idx="3">
                  <c:v>10.339</c:v>
                </c:pt>
                <c:pt idx="4">
                  <c:v>11.217</c:v>
                </c:pt>
              </c:numCache>
            </c:numRef>
          </c:yVal>
          <c:smooth val="1"/>
        </c:ser>
        <c:dLbls>
          <c:showLegendKey val="0"/>
          <c:showVal val="0"/>
          <c:showCatName val="0"/>
          <c:showSerName val="0"/>
          <c:showPercent val="0"/>
          <c:showBubbleSize val="0"/>
        </c:dLbls>
        <c:axId val="695078197"/>
        <c:axId val="944148484"/>
      </c:scatterChart>
      <c:valAx>
        <c:axId val="69507819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44148484"/>
        <c:crosses val="autoZero"/>
        <c:crossBetween val="midCat"/>
      </c:valAx>
      <c:valAx>
        <c:axId val="9441484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695078197"/>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1921</Words>
  <Characters>2275</Characters>
  <Lines>0</Lines>
  <Paragraphs>0</Paragraphs>
  <TotalTime>0</TotalTime>
  <ScaleCrop>false</ScaleCrop>
  <LinksUpToDate>false</LinksUpToDate>
  <CharactersWithSpaces>2376</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2022-06-04T11:44:00Z</dcterms:created>
  <dc:creator>Administrator</dc:creator>
  <cp:lastModifiedBy>易七年.♡</cp:lastModifiedBy>
  <dcterms:modified xsi:type="dcterms:W3CDTF">2022-06-04T14:40:50Z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6DF0E825C1B64300B8DE71EE6B4908CF</vt:lpwstr>
  </property>
</Properties>
</file>