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1º.</w:t>
        <w:tab/>
        <w:t xml:space="preserve">Personaje</w:t>
      </w:r>
    </w:p>
    <w:p w:rsidR="00000000" w:rsidDel="00000000" w:rsidP="00000000" w:rsidRDefault="00000000" w:rsidRPr="00000000" w14:paraId="000000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-Nombre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-Vida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-Mana**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-Arma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-HabilidadesPj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-ClasePj**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-NivelPj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-ExperienciaPj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2º.</w:t>
        <w:tab/>
        <w:t xml:space="preserve">Armas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-DañoArma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-TipoArma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-Efecto**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-Mejora**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-Nivel**</w:t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3º. </w:t>
        <w:tab/>
        <w:t xml:space="preserve">Mapa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-Zona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-CantidadDeZonas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4º.</w:t>
        <w:tab/>
        <w:t xml:space="preserve">Zona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-TipoZona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-Tamaño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-Recursos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-NivelZona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5º.</w:t>
        <w:tab/>
        <w:t xml:space="preserve">Patrulla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-Inventario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-numeroDeIntegrantes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-nivelPatrulla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6º</w:t>
        <w:tab/>
        <w:t xml:space="preserve">Construcciones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-TipoConstrucciones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-precioConstruccion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-vidaConstruccion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-MaterialesDeContruccion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7º.</w:t>
        <w:tab/>
        <w:t xml:space="preserve">Jugador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-Nombre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-Contraseña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-Dinero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-RecursosAcumulados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-NivelJugador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-Patrulla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-Construcciones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-Faccion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8º.</w:t>
        <w:tab/>
        <w:t xml:space="preserve">Facciones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-**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9º.</w:t>
        <w:tab/>
        <w:t xml:space="preserve">Recursos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-Tipos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-Cantidad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-Rareza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-Precio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10º.</w:t>
        <w:tab/>
        <w:t xml:space="preserve">Habilidades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-TipoDeHabilidad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-Nombre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-Coste o CantidadDeUsos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